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212725</wp:posOffset>
            </wp:positionV>
            <wp:extent cx="6962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255270</wp:posOffset>
            </wp:positionV>
            <wp:extent cx="6962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2837180</wp:posOffset>
            </wp:positionH>
            <wp:positionV relativeFrom="paragraph">
              <wp:posOffset>224155</wp:posOffset>
            </wp:positionV>
            <wp:extent cx="1467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2837180</wp:posOffset>
            </wp:positionH>
            <wp:positionV relativeFrom="paragraph">
              <wp:posOffset>244475</wp:posOffset>
            </wp:positionV>
            <wp:extent cx="1467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80" w:hanging="438"/>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 Ended March 31, 2022</w:t>
      </w:r>
    </w:p>
    <w:p>
      <w:pPr>
        <w:spacing w:after="0" w:line="241" w:lineRule="exact"/>
        <w:rPr>
          <w:sz w:val="24"/>
          <w:szCs w:val="24"/>
          <w:color w:val="auto"/>
        </w:rPr>
      </w:pPr>
    </w:p>
    <w:p>
      <w:pPr>
        <w:ind w:left="580" w:hanging="438"/>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814-00754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2837180</wp:posOffset>
            </wp:positionH>
            <wp:positionV relativeFrom="paragraph">
              <wp:posOffset>238760</wp:posOffset>
            </wp:positionV>
            <wp:extent cx="1467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SLR INVESTMENT CORP.</w:t>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2837180</wp:posOffset>
            </wp:positionH>
            <wp:positionV relativeFrom="paragraph">
              <wp:posOffset>226060</wp:posOffset>
            </wp:positionV>
            <wp:extent cx="1467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720" w:type="dxa"/>
        <w:tblCellMar>
          <w:top w:w="0" w:type="dxa"/>
          <w:left w:w="0" w:type="dxa"/>
          <w:bottom w:w="0" w:type="dxa"/>
          <w:right w:w="0" w:type="dxa"/>
        </w:tblCellMar>
      </w:tblPr>
      <w:tr>
        <w:trPr>
          <w:trHeight w:val="211"/>
        </w:trPr>
        <w:tc>
          <w:tcPr>
            <w:tcW w:w="6040" w:type="dxa"/>
            <w:vAlign w:val="bottom"/>
          </w:tcPr>
          <w:p>
            <w:pPr>
              <w:jc w:val="center"/>
              <w:ind w:right="3576"/>
              <w:spacing w:after="0"/>
              <w:rPr>
                <w:sz w:val="20"/>
                <w:szCs w:val="20"/>
                <w:color w:val="auto"/>
              </w:rPr>
            </w:pPr>
            <w:r>
              <w:rPr>
                <w:rFonts w:ascii="Arial" w:cs="Arial" w:eastAsia="Arial" w:hAnsi="Arial"/>
                <w:sz w:val="18"/>
                <w:szCs w:val="18"/>
                <w:b w:val="1"/>
                <w:bCs w:val="1"/>
                <w:color w:val="auto"/>
                <w:w w:val="98"/>
              </w:rPr>
              <w:t>Maryland</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26-1381340</w:t>
            </w:r>
          </w:p>
        </w:tc>
        <w:tc>
          <w:tcPr>
            <w:tcW w:w="0" w:type="dxa"/>
            <w:vAlign w:val="bottom"/>
          </w:tcPr>
          <w:p>
            <w:pPr>
              <w:spacing w:after="0"/>
              <w:rPr>
                <w:sz w:val="1"/>
                <w:szCs w:val="1"/>
                <w:color w:val="auto"/>
              </w:rPr>
            </w:pPr>
          </w:p>
        </w:tc>
      </w:tr>
      <w:tr>
        <w:trPr>
          <w:trHeight w:val="148"/>
        </w:trPr>
        <w:tc>
          <w:tcPr>
            <w:tcW w:w="6040" w:type="dxa"/>
            <w:vAlign w:val="bottom"/>
          </w:tcPr>
          <w:p>
            <w:pPr>
              <w:jc w:val="center"/>
              <w:ind w:right="3576"/>
              <w:spacing w:after="0" w:line="148" w:lineRule="exact"/>
              <w:rPr>
                <w:sz w:val="20"/>
                <w:szCs w:val="20"/>
                <w:color w:val="auto"/>
              </w:rPr>
            </w:pPr>
            <w:r>
              <w:rPr>
                <w:rFonts w:ascii="Arial" w:cs="Arial" w:eastAsia="Arial" w:hAnsi="Arial"/>
                <w:sz w:val="14"/>
                <w:szCs w:val="14"/>
                <w:b w:val="1"/>
                <w:bCs w:val="1"/>
                <w:color w:val="auto"/>
                <w:w w:val="94"/>
              </w:rPr>
              <w:t>(State of Incorporation)</w:t>
            </w:r>
          </w:p>
        </w:tc>
        <w:tc>
          <w:tcPr>
            <w:tcW w:w="1240" w:type="dxa"/>
            <w:vAlign w:val="bottom"/>
          </w:tcPr>
          <w:p>
            <w:pPr>
              <w:jc w:val="center"/>
              <w:ind w:left="41"/>
              <w:spacing w:after="0" w:line="148"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40" w:type="dxa"/>
            <w:vAlign w:val="bottom"/>
            <w:vMerge w:val="restart"/>
          </w:tcPr>
          <w:p>
            <w:pPr>
              <w:jc w:val="center"/>
              <w:ind w:right="3576"/>
              <w:spacing w:after="0"/>
              <w:rPr>
                <w:sz w:val="20"/>
                <w:szCs w:val="20"/>
                <w:color w:val="auto"/>
              </w:rPr>
            </w:pPr>
            <w:r>
              <w:rPr>
                <w:rFonts w:ascii="Arial" w:cs="Arial" w:eastAsia="Arial" w:hAnsi="Arial"/>
                <w:sz w:val="18"/>
                <w:szCs w:val="18"/>
                <w:b w:val="1"/>
                <w:bCs w:val="1"/>
                <w:color w:val="auto"/>
                <w:w w:val="90"/>
              </w:rPr>
              <w:t>500 Park Avenue</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40" w:type="dxa"/>
            <w:vAlign w:val="bottom"/>
          </w:tcPr>
          <w:p>
            <w:pPr>
              <w:jc w:val="center"/>
              <w:ind w:right="3576"/>
              <w:spacing w:after="0"/>
              <w:rPr>
                <w:sz w:val="20"/>
                <w:szCs w:val="20"/>
                <w:color w:val="auto"/>
              </w:rPr>
            </w:pPr>
            <w:r>
              <w:rPr>
                <w:rFonts w:ascii="Arial" w:cs="Arial" w:eastAsia="Arial" w:hAnsi="Arial"/>
                <w:sz w:val="18"/>
                <w:szCs w:val="18"/>
                <w:b w:val="1"/>
                <w:bCs w:val="1"/>
                <w:color w:val="auto"/>
                <w:w w:val="92"/>
              </w:rPr>
              <w:t>New York, N.Y.</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c>
          <w:tcPr>
            <w:tcW w:w="0" w:type="dxa"/>
            <w:vAlign w:val="bottom"/>
          </w:tcPr>
          <w:p>
            <w:pPr>
              <w:spacing w:after="0"/>
              <w:rPr>
                <w:sz w:val="1"/>
                <w:szCs w:val="1"/>
                <w:color w:val="auto"/>
              </w:rPr>
            </w:pPr>
          </w:p>
        </w:tc>
      </w:tr>
      <w:tr>
        <w:trPr>
          <w:trHeight w:val="186"/>
        </w:trPr>
        <w:tc>
          <w:tcPr>
            <w:tcW w:w="6040" w:type="dxa"/>
            <w:vAlign w:val="bottom"/>
          </w:tcPr>
          <w:p>
            <w:pPr>
              <w:jc w:val="center"/>
              <w:ind w:right="357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6"/>
        </w:trPr>
        <w:tc>
          <w:tcPr>
            <w:tcW w:w="6040" w:type="dxa"/>
            <w:vAlign w:val="bottom"/>
          </w:tcPr>
          <w:p>
            <w:pPr>
              <w:jc w:val="right"/>
              <w:ind w:right="1496"/>
              <w:spacing w:after="0"/>
              <w:rPr>
                <w:sz w:val="20"/>
                <w:szCs w:val="20"/>
                <w:color w:val="auto"/>
              </w:rPr>
            </w:pPr>
            <w:r>
              <w:rPr>
                <w:rFonts w:ascii="Arial" w:cs="Arial" w:eastAsia="Arial" w:hAnsi="Arial"/>
                <w:sz w:val="18"/>
                <w:szCs w:val="18"/>
                <w:b w:val="1"/>
                <w:bCs w:val="1"/>
                <w:color w:val="auto"/>
              </w:rPr>
              <w:t>(212) 993-1670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40" w:type="dxa"/>
            <w:vAlign w:val="bottom"/>
          </w:tcPr>
          <w:p>
            <w:pPr>
              <w:jc w:val="center"/>
              <w:ind w:left="1676"/>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2837180</wp:posOffset>
            </wp:positionH>
            <wp:positionV relativeFrom="paragraph">
              <wp:posOffset>221615</wp:posOffset>
            </wp:positionV>
            <wp:extent cx="1467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2"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3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4"/>
        </w:trPr>
        <w:tc>
          <w:tcPr>
            <w:tcW w:w="3960" w:type="dxa"/>
            <w:vAlign w:val="bottom"/>
            <w:gridSpan w:val="2"/>
            <w:vMerge w:val="continue"/>
          </w:tcPr>
          <w:p>
            <w:pPr>
              <w:spacing w:after="0"/>
              <w:rPr>
                <w:sz w:val="15"/>
                <w:szCs w:val="15"/>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1"/>
              </w:rPr>
              <w:t>on Which Registered</w:t>
            </w:r>
          </w:p>
        </w:tc>
        <w:tc>
          <w:tcPr>
            <w:tcW w:w="0" w:type="dxa"/>
            <w:vAlign w:val="bottom"/>
          </w:tcPr>
          <w:p>
            <w:pPr>
              <w:spacing w:after="0"/>
              <w:rPr>
                <w:sz w:val="1"/>
                <w:szCs w:val="1"/>
                <w:color w:val="auto"/>
              </w:rPr>
            </w:pPr>
          </w:p>
        </w:tc>
      </w:tr>
      <w:tr>
        <w:trPr>
          <w:trHeight w:val="227"/>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SLRC</w:t>
            </w:r>
          </w:p>
        </w:tc>
        <w:tc>
          <w:tcPr>
            <w:tcW w:w="10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Select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5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left="140" w:right="280"/>
        <w:spacing w:after="0" w:line="225"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left="140" w:right="180" w:firstLine="438"/>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left="140" w:right="100" w:firstLine="438"/>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140" w:type="dxa"/>
        <w:tblCellMar>
          <w:top w:w="0" w:type="dxa"/>
          <w:left w:w="0" w:type="dxa"/>
          <w:bottom w:w="0" w:type="dxa"/>
          <w:right w:w="0" w:type="dxa"/>
        </w:tblCellMar>
      </w:tblPr>
      <w:tr>
        <w:trPr>
          <w:trHeight w:val="282"/>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2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2"/>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20"/>
              <w:spacing w:after="0"/>
              <w:rPr>
                <w:sz w:val="20"/>
                <w:szCs w:val="20"/>
                <w:color w:val="auto"/>
              </w:rPr>
            </w:pPr>
            <w:r>
              <w:rPr>
                <w:rFonts w:ascii="Arial" w:cs="Arial" w:eastAsia="Arial" w:hAnsi="Arial"/>
                <w:sz w:val="18"/>
                <w:szCs w:val="18"/>
                <w:color w:val="auto"/>
                <w:w w:val="99"/>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2"/>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28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80" w:lineRule="exact"/>
        <w:rPr>
          <w:sz w:val="24"/>
          <w:szCs w:val="24"/>
          <w:color w:val="auto"/>
        </w:rPr>
      </w:pPr>
    </w:p>
    <w:p>
      <w:pPr>
        <w:ind w:left="140" w:right="160" w:firstLine="438"/>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ind w:left="580"/>
        <w:spacing w:after="0" w:line="207" w:lineRule="exact"/>
        <w:tabs>
          <w:tab w:leader="none" w:pos="8860" w:val="left"/>
          <w:tab w:leader="none" w:pos="95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6"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The number of shares of the registrant’s Common Stock, $.01 par value, outstanding as of April 29, 2022 was 54,772,651.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90170</wp:posOffset>
            </wp:positionH>
            <wp:positionV relativeFrom="paragraph">
              <wp:posOffset>159385</wp:posOffset>
            </wp:positionV>
            <wp:extent cx="6962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201930</wp:posOffset>
            </wp:positionV>
            <wp:extent cx="6962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ectPr>
          <w:pgSz w:w="11900" w:h="16838" w:orient="portrait"/>
          <w:cols w:equalWidth="0" w:num="1">
            <w:col w:w="11100"/>
          </w:cols>
          <w:pgMar w:left="320" w:top="229" w:right="479" w:bottom="744"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 FOR THE QUARTER ENDED MARCH 31, 2022</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3060" w:type="dxa"/>
            <w:vAlign w:val="bottom"/>
            <w:gridSpan w:val="1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460" w:type="dxa"/>
            <w:vAlign w:val="bottom"/>
            <w:gridSpan w:val="14"/>
            <w:vMerge w:val="restart"/>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3060" w:type="dxa"/>
            <w:vAlign w:val="bottom"/>
            <w:tcBorders>
              <w:bottom w:val="single" w:sz="8" w:color="0000EE"/>
            </w:tcBorders>
            <w:gridSpan w:val="12"/>
            <w:vMerge w:val="continue"/>
          </w:tcPr>
          <w:p>
            <w:pPr>
              <w:spacing w:after="0"/>
              <w:rPr>
                <w:sz w:val="13"/>
                <w:szCs w:val="13"/>
                <w:color w:val="auto"/>
              </w:rPr>
            </w:pPr>
          </w:p>
        </w:tc>
        <w:tc>
          <w:tcPr>
            <w:tcW w:w="7460" w:type="dxa"/>
            <w:vAlign w:val="bottom"/>
            <w:gridSpan w:val="14"/>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4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March 31, 2022 (unaudited) and December 31, 2021</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4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Statements of Operations for the three months ended March 31, 2022 (unaudited) and the three months ended</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2020" w:type="dxa"/>
            <w:vAlign w:val="bottom"/>
            <w:tcBorders>
              <w:top w:val="single" w:sz="8" w:color="0000EE"/>
              <w:bottom w:val="single" w:sz="8" w:color="0000EE"/>
            </w:tcBorders>
            <w:gridSpan w:val="10"/>
          </w:tcPr>
          <w:p>
            <w:pPr>
              <w:spacing w:after="0" w:line="195"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March 31, 2021 (unaudited)</w:t>
              </w:r>
            </w:hyperlink>
          </w:p>
        </w:tc>
        <w:tc>
          <w:tcPr>
            <w:tcW w:w="6820" w:type="dxa"/>
            <w:vAlign w:val="bottom"/>
            <w:tcBorders>
              <w:top w:val="single" w:sz="8" w:color="0000EE"/>
            </w:tcBorders>
            <w:gridSpan w:val="12"/>
          </w:tcPr>
          <w:p>
            <w:pPr>
              <w:spacing w:after="0"/>
              <w:rPr>
                <w:sz w:val="16"/>
                <w:szCs w:val="16"/>
                <w:color w:val="auto"/>
              </w:rPr>
            </w:pPr>
          </w:p>
        </w:tc>
        <w:tc>
          <w:tcPr>
            <w:tcW w:w="840" w:type="dxa"/>
            <w:vAlign w:val="bottom"/>
            <w:gridSpan w:val="3"/>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920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Changes in Net Assets for the three months ended March 31, 2022 (unaudited) and the three months</w:t>
              </w:r>
            </w:hyperlink>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2500" w:type="dxa"/>
            <w:vAlign w:val="bottom"/>
            <w:tcBorders>
              <w:bottom w:val="single" w:sz="8" w:color="0000EE"/>
            </w:tcBorders>
            <w:gridSpan w:val="13"/>
          </w:tcPr>
          <w:p>
            <w:pPr>
              <w:spacing w:after="0" w:line="195"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ended March 31, 2021 (unaudited)</w:t>
              </w:r>
            </w:hyperlink>
          </w:p>
        </w:tc>
        <w:tc>
          <w:tcPr>
            <w:tcW w:w="7180" w:type="dxa"/>
            <w:vAlign w:val="bottom"/>
            <w:gridSpan w:val="12"/>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89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three months ended March 31, 2022 (unaudited) and the three months ended</w:t>
              </w:r>
            </w:hyperlink>
          </w:p>
        </w:tc>
        <w:tc>
          <w:tcPr>
            <w:tcW w:w="78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2020" w:type="dxa"/>
            <w:vAlign w:val="bottom"/>
            <w:tcBorders>
              <w:bottom w:val="single" w:sz="8" w:color="0000EE"/>
            </w:tcBorders>
            <w:gridSpan w:val="10"/>
          </w:tcPr>
          <w:p>
            <w:pPr>
              <w:spacing w:after="0" w:line="195"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March 31, 2021 (unaudited)</w:t>
              </w:r>
            </w:hyperlink>
          </w:p>
        </w:tc>
        <w:tc>
          <w:tcPr>
            <w:tcW w:w="7660" w:type="dxa"/>
            <w:vAlign w:val="bottom"/>
            <w:gridSpan w:val="15"/>
          </w:tcPr>
          <w:p>
            <w:pPr>
              <w:spacing w:after="0"/>
              <w:rPr>
                <w:sz w:val="16"/>
                <w:szCs w:val="16"/>
                <w:color w:val="auto"/>
              </w:rPr>
            </w:pPr>
          </w:p>
        </w:tc>
        <w:tc>
          <w:tcPr>
            <w:tcW w:w="400" w:type="dxa"/>
            <w:vAlign w:val="bottom"/>
          </w:tcPr>
          <w:p>
            <w:pPr>
              <w:jc w:val="right"/>
              <w:spacing w:after="0" w:line="195"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Schedule of Investments as of March 31, 2022 (unaudited)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46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Consolidated Schedule of Investments as of December 31, 2021</w:t>
              </w:r>
            </w:hyperlink>
          </w:p>
        </w:tc>
        <w:tc>
          <w:tcPr>
            <w:tcW w:w="600" w:type="dxa"/>
            <w:vAlign w:val="bottom"/>
            <w:tcBorders>
              <w:top w:val="single" w:sz="8" w:color="0000EE"/>
            </w:tcBorders>
          </w:tcPr>
          <w:p>
            <w:pPr>
              <w:spacing w:after="0"/>
              <w:rPr>
                <w:sz w:val="24"/>
                <w:szCs w:val="24"/>
                <w:color w:val="auto"/>
              </w:rPr>
            </w:pPr>
          </w:p>
        </w:tc>
        <w:tc>
          <w:tcPr>
            <w:tcW w:w="448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40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Notes to Consolidated Financial Statements (unaudited)</w:t>
              </w:r>
            </w:hyperlink>
          </w:p>
        </w:tc>
        <w:tc>
          <w:tcPr>
            <w:tcW w:w="56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Quantitative and Qualitative Disclosures About Market Risk</w:t>
              </w:r>
            </w:hyperlink>
          </w:p>
        </w:tc>
        <w:tc>
          <w:tcPr>
            <w:tcW w:w="53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Controls and Procedures</w:t>
              </w:r>
            </w:hyperlink>
          </w:p>
        </w:tc>
        <w:tc>
          <w:tcPr>
            <w:tcW w:w="790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2"/>
        </w:trPr>
        <w:tc>
          <w:tcPr>
            <w:tcW w:w="276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OTHER INFORMATION</w:t>
              </w:r>
            </w:hyperlink>
          </w:p>
        </w:tc>
        <w:tc>
          <w:tcPr>
            <w:tcW w:w="7760" w:type="dxa"/>
            <w:vAlign w:val="bottom"/>
            <w:gridSpan w:val="16"/>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Legal Proceedings</w:t>
              </w:r>
            </w:hyperlink>
          </w:p>
        </w:tc>
        <w:tc>
          <w:tcPr>
            <w:tcW w:w="8340" w:type="dxa"/>
            <w:vAlign w:val="bottom"/>
            <w:gridSpan w:val="2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Unregistered Sales of Equity Securities and Use of Proceeds</w:t>
              </w:r>
            </w:hyperlink>
          </w:p>
        </w:tc>
        <w:tc>
          <w:tcPr>
            <w:tcW w:w="53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Defaults Upon Senior Securities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12"/>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736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7920" w:type="dxa"/>
            <w:vAlign w:val="bottom"/>
            <w:gridSpan w:val="1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2"/>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20" w:type="dxa"/>
            <w:vAlign w:val="bottom"/>
            <w:gridSpan w:val="2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40" w:type="dxa"/>
            <w:vAlign w:val="bottom"/>
          </w:tcPr>
          <w:p>
            <w:pPr>
              <w:spacing w:after="0"/>
              <w:rPr>
                <w:sz w:val="24"/>
                <w:szCs w:val="24"/>
                <w:color w:val="auto"/>
              </w:rPr>
            </w:pPr>
          </w:p>
        </w:tc>
        <w:tc>
          <w:tcPr>
            <w:tcW w:w="9680" w:type="dxa"/>
            <w:vAlign w:val="bottom"/>
            <w:gridSpan w:val="2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320" w:top="458"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PART I. FINANCIAL INFORMATION</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this Quarterly Report, “Company”, “we”, “us”, and “our” refer to SLR Investment Corp. unless the context states otherwise.</w:t>
      </w:r>
    </w:p>
    <w:p>
      <w:pPr>
        <w:spacing w:after="0" w:line="24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80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940" w:type="dxa"/>
            <w:vAlign w:val="bottom"/>
          </w:tcPr>
          <w:p>
            <w:pPr>
              <w:spacing w:after="0"/>
              <w:rPr>
                <w:sz w:val="24"/>
                <w:szCs w:val="24"/>
                <w:color w:val="auto"/>
              </w:rPr>
            </w:pPr>
          </w:p>
        </w:tc>
        <w:tc>
          <w:tcPr>
            <w:tcW w:w="7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9"/>
              </w:rPr>
              <w:t>SLR INVESTMENT CORP.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Pr>
          <w:p>
            <w:pPr>
              <w:spacing w:after="0"/>
              <w:rPr>
                <w:sz w:val="18"/>
                <w:szCs w:val="18"/>
                <w:color w:val="auto"/>
              </w:rPr>
            </w:pPr>
          </w:p>
        </w:tc>
        <w:tc>
          <w:tcPr>
            <w:tcW w:w="78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STATEMENTS OF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7"/>
              </w:rPr>
              <w:t>(in thousands, except share amounts)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9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March 31, 2022</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94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(unaudited)</w:t>
            </w: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9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78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Companies less than 5% owned (cost: $956,039 and $985,088, respectively)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921,831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964,379</w:t>
            </w:r>
          </w:p>
        </w:tc>
        <w:tc>
          <w:tcPr>
            <w:tcW w:w="0" w:type="dxa"/>
            <w:vAlign w:val="bottom"/>
          </w:tcPr>
          <w:p>
            <w:pPr>
              <w:spacing w:after="0"/>
              <w:rPr>
                <w:sz w:val="1"/>
                <w:szCs w:val="1"/>
                <w:color w:val="auto"/>
              </w:rPr>
            </w:pPr>
          </w:p>
        </w:tc>
      </w:tr>
      <w:tr>
        <w:trPr>
          <w:trHeight w:val="215"/>
        </w:trPr>
        <w:tc>
          <w:tcPr>
            <w:tcW w:w="8740" w:type="dxa"/>
            <w:vAlign w:val="bottom"/>
            <w:gridSpan w:val="2"/>
          </w:tcPr>
          <w:p>
            <w:pPr>
              <w:ind w:left="360"/>
              <w:spacing w:after="0"/>
              <w:rPr>
                <w:sz w:val="20"/>
                <w:szCs w:val="20"/>
                <w:color w:val="auto"/>
              </w:rPr>
            </w:pPr>
            <w:r>
              <w:rPr>
                <w:rFonts w:ascii="Arial" w:cs="Arial" w:eastAsia="Arial" w:hAnsi="Arial"/>
                <w:sz w:val="18"/>
                <w:szCs w:val="18"/>
                <w:color w:val="auto"/>
              </w:rPr>
              <w:t>Companies more than 25% owned (cost: $708,850 and $711,865,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704,642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706,203</w:t>
            </w:r>
          </w:p>
        </w:tc>
        <w:tc>
          <w:tcPr>
            <w:tcW w:w="0" w:type="dxa"/>
            <w:vAlign w:val="bottom"/>
          </w:tcPr>
          <w:p>
            <w:pPr>
              <w:spacing w:after="0"/>
              <w:rPr>
                <w:sz w:val="1"/>
                <w:szCs w:val="1"/>
                <w:color w:val="auto"/>
              </w:rPr>
            </w:pPr>
          </w:p>
        </w:tc>
      </w:tr>
      <w:tr>
        <w:trPr>
          <w:trHeight w:val="215"/>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Cash equivalents (cost: $579,829 and $320,000, respectively)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579,829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9,028</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Interest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2,233,284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2,011,011</w:t>
            </w:r>
          </w:p>
        </w:tc>
        <w:tc>
          <w:tcPr>
            <w:tcW w:w="0" w:type="dxa"/>
            <w:vAlign w:val="bottom"/>
          </w:tcPr>
          <w:p>
            <w:pPr>
              <w:spacing w:after="0"/>
              <w:rPr>
                <w:sz w:val="1"/>
                <w:szCs w:val="1"/>
                <w:color w:val="auto"/>
              </w:rPr>
            </w:pPr>
          </w:p>
        </w:tc>
      </w:tr>
      <w:tr>
        <w:trPr>
          <w:trHeight w:val="222"/>
        </w:trPr>
        <w:tc>
          <w:tcPr>
            <w:tcW w:w="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Debt ($815,000 and $818,500 face amounts, respectively, reported net of unamortized debt issuance costs of $6,142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$6,462, respectively. See notes 6 and 7)</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808,858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812,038</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Payable for investments and cash equivalents purchased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579,870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320,041</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Management fee payable (see note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Interest payable (see note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4,492</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services payable (see note 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Other liabilities and accrued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1,406,867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Net Assets</w:t>
            </w:r>
          </w:p>
        </w:tc>
        <w:tc>
          <w:tcPr>
            <w:tcW w:w="7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740" w:type="dxa"/>
            <w:vAlign w:val="bottom"/>
            <w:gridSpan w:val="2"/>
          </w:tcPr>
          <w:p>
            <w:pPr>
              <w:spacing w:after="0" w:line="201" w:lineRule="exact"/>
              <w:rPr>
                <w:sz w:val="20"/>
                <w:szCs w:val="20"/>
                <w:color w:val="auto"/>
              </w:rPr>
            </w:pPr>
            <w:r>
              <w:rPr>
                <w:rFonts w:ascii="Arial" w:cs="Arial" w:eastAsia="Arial" w:hAnsi="Arial"/>
                <w:sz w:val="18"/>
                <w:szCs w:val="18"/>
                <w:color w:val="auto"/>
                <w:w w:val="91"/>
              </w:rPr>
              <w:t>Common stock, par value $0.01 per share, 200,000,000 and 200,000,000 common shares authorized, respectively,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40" w:type="dxa"/>
            <w:vAlign w:val="bottom"/>
            <w:gridSpan w:val="2"/>
          </w:tcPr>
          <w:p>
            <w:pPr>
              <w:ind w:left="180"/>
              <w:spacing w:after="0"/>
              <w:rPr>
                <w:sz w:val="20"/>
                <w:szCs w:val="20"/>
                <w:color w:val="auto"/>
              </w:rPr>
            </w:pPr>
            <w:r>
              <w:rPr>
                <w:rFonts w:ascii="Arial" w:cs="Arial" w:eastAsia="Arial" w:hAnsi="Arial"/>
                <w:sz w:val="18"/>
                <w:szCs w:val="18"/>
                <w:color w:val="auto"/>
              </w:rPr>
              <w:t>42,260,826 and 42,260,826 shares issued and outstanding, respectively</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5"/>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936,999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936,999</w:t>
            </w:r>
          </w:p>
        </w:tc>
        <w:tc>
          <w:tcPr>
            <w:tcW w:w="0" w:type="dxa"/>
            <w:vAlign w:val="bottom"/>
          </w:tcPr>
          <w:p>
            <w:pPr>
              <w:spacing w:after="0"/>
              <w:rPr>
                <w:sz w:val="1"/>
                <w:szCs w:val="1"/>
                <w:color w:val="auto"/>
              </w:rPr>
            </w:pPr>
          </w:p>
        </w:tc>
      </w:tr>
      <w:tr>
        <w:trPr>
          <w:trHeight w:val="215"/>
        </w:trPr>
        <w:tc>
          <w:tcPr>
            <w:tcW w:w="8740" w:type="dxa"/>
            <w:vAlign w:val="bottom"/>
            <w:gridSpan w:val="2"/>
          </w:tcPr>
          <w:p>
            <w:pPr>
              <w:spacing w:after="0"/>
              <w:rPr>
                <w:sz w:val="20"/>
                <w:szCs w:val="20"/>
                <w:color w:val="auto"/>
              </w:rPr>
            </w:pPr>
            <w:r>
              <w:rPr>
                <w:rFonts w:ascii="Arial" w:cs="Arial" w:eastAsia="Arial" w:hAnsi="Arial"/>
                <w:sz w:val="18"/>
                <w:szCs w:val="18"/>
                <w:color w:val="auto"/>
              </w:rPr>
              <w:t>Accumulated distributable net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(111,005)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(95,141)</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7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826,417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842,281</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8"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INVESTMENT INCOME:</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Companies less than 5% owned</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20,662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20,832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Companies more than 25% owned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2,561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Companies less than 5% owned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Companies more than 25% owned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Companies less than 5% owned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Companies more than 25% owned</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33,006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35,887</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(see note 3)</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7,216</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Performance-based incentive fees (see note 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credit facility expenses (see note 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Administrative services expense (see note 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investment income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13,478</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15,466</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CASH EQUIVALENTS: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 and cash equivalents (companies less than 5% owned)</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Net change in unrealized gain (loss) on investments and cash equivalents: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Companies less than 5% owned</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(13,498)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Companies more than 25% owned</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gain (loss) on investments and cash equivalents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(12,045)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20" w:type="dxa"/>
            <w:vAlign w:val="bottom"/>
          </w:tcPr>
          <w:p>
            <w:pPr>
              <w:ind w:left="1060"/>
              <w:spacing w:after="0"/>
              <w:rPr>
                <w:sz w:val="20"/>
                <w:szCs w:val="20"/>
                <w:color w:val="auto"/>
              </w:rPr>
            </w:pPr>
            <w:r>
              <w:rPr>
                <w:rFonts w:ascii="Arial" w:cs="Arial" w:eastAsia="Arial" w:hAnsi="Arial"/>
                <w:sz w:val="18"/>
                <w:szCs w:val="18"/>
                <w:color w:val="auto"/>
              </w:rPr>
              <w:t>Net realized and unrealized gain (loss) on investments and cash equivalents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21,510</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(see note 5)</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8"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0"/>
              </w:rPr>
              <w:t>Three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1"/>
        </w:trPr>
        <w:tc>
          <w:tcPr>
            <w:tcW w:w="6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2"/>
                <w:szCs w:val="12"/>
                <w:color w:val="auto"/>
              </w:rPr>
            </w:pPr>
          </w:p>
        </w:tc>
      </w:tr>
      <w:tr>
        <w:trPr>
          <w:trHeight w:val="195"/>
        </w:trPr>
        <w:tc>
          <w:tcPr>
            <w:tcW w:w="6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Increase (decrease) in net assets resulting from operations:</w:t>
            </w:r>
          </w:p>
        </w:tc>
        <w:tc>
          <w:tcPr>
            <w:tcW w:w="17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672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96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13,478</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15,466</w:t>
            </w:r>
          </w:p>
        </w:tc>
      </w:tr>
      <w:tr>
        <w:trPr>
          <w:trHeight w:val="215"/>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(loss)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r>
      <w:tr>
        <w:trPr>
          <w:trHeight w:val="222"/>
        </w:trPr>
        <w:tc>
          <w:tcPr>
            <w:tcW w:w="6720" w:type="dxa"/>
            <w:vAlign w:val="bottom"/>
          </w:tcPr>
          <w:p>
            <w:pPr>
              <w:ind w:left="360"/>
              <w:spacing w:after="0"/>
              <w:rPr>
                <w:sz w:val="20"/>
                <w:szCs w:val="20"/>
                <w:color w:val="auto"/>
              </w:rPr>
            </w:pPr>
            <w:r>
              <w:rPr>
                <w:rFonts w:ascii="Arial" w:cs="Arial" w:eastAsia="Arial" w:hAnsi="Arial"/>
                <w:sz w:val="18"/>
                <w:szCs w:val="18"/>
                <w:color w:val="auto"/>
              </w:rPr>
              <w:t>Net change in unrealized gain (loss)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(12,045)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6,410</w:t>
            </w:r>
          </w:p>
        </w:tc>
      </w:tr>
      <w:tr>
        <w:trPr>
          <w:trHeight w:val="215"/>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in net assets resulting from operations</w:t>
            </w:r>
          </w:p>
        </w:tc>
        <w:tc>
          <w:tcPr>
            <w:tcW w:w="1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21,510</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b w:val="1"/>
                <w:bCs w:val="1"/>
                <w:color w:val="auto"/>
              </w:rPr>
              <w:t>Distributions to stockholders: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net investment income</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(17,327)</w:t>
            </w:r>
          </w:p>
        </w:tc>
      </w:tr>
      <w:tr>
        <w:trPr>
          <w:trHeight w:val="222"/>
        </w:trPr>
        <w:tc>
          <w:tcPr>
            <w:tcW w:w="6720" w:type="dxa"/>
            <w:vAlign w:val="bottom"/>
          </w:tcPr>
          <w:p>
            <w:pPr>
              <w:spacing w:after="0"/>
              <w:rPr>
                <w:sz w:val="20"/>
                <w:szCs w:val="20"/>
                <w:color w:val="auto"/>
              </w:rPr>
            </w:pPr>
            <w:r>
              <w:rPr>
                <w:rFonts w:ascii="Arial" w:cs="Arial" w:eastAsia="Arial" w:hAnsi="Arial"/>
                <w:sz w:val="18"/>
                <w:szCs w:val="18"/>
                <w:b w:val="1"/>
                <w:bCs w:val="1"/>
                <w:color w:val="auto"/>
              </w:rPr>
              <w:t xml:space="preserve">Capital transactions </w:t>
            </w:r>
            <w:r>
              <w:rPr>
                <w:rFonts w:ascii="Arial" w:cs="Arial" w:eastAsia="Arial" w:hAnsi="Arial"/>
                <w:sz w:val="18"/>
                <w:szCs w:val="18"/>
                <w:color w:val="auto"/>
              </w:rPr>
              <w:t>(see note 12)</w:t>
            </w:r>
            <w:r>
              <w:rPr>
                <w:rFonts w:ascii="Arial" w:cs="Arial" w:eastAsia="Arial" w:hAnsi="Arial"/>
                <w:sz w:val="18"/>
                <w:szCs w:val="18"/>
                <w:b w:val="1"/>
                <w:bCs w:val="1"/>
                <w:color w:val="auto"/>
              </w:rPr>
              <w:t>:</w:t>
            </w:r>
          </w:p>
        </w:tc>
        <w:tc>
          <w:tcPr>
            <w:tcW w:w="1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increase in net assets resulting from capital transactions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Total increase (decrease) in net assets</w:t>
            </w:r>
          </w:p>
        </w:tc>
        <w:tc>
          <w:tcPr>
            <w:tcW w:w="17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19"/>
                <w:szCs w:val="19"/>
                <w:color w:val="auto"/>
              </w:rPr>
            </w:pPr>
          </w:p>
        </w:tc>
      </w:tr>
      <w:tr>
        <w:trPr>
          <w:trHeight w:val="215"/>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842,281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852,023</w:t>
            </w: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826,417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856,206</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Capital stock activity </w:t>
            </w:r>
            <w:r>
              <w:rPr>
                <w:rFonts w:ascii="Arial" w:cs="Arial" w:eastAsia="Arial" w:hAnsi="Arial"/>
                <w:sz w:val="18"/>
                <w:szCs w:val="18"/>
                <w:color w:val="auto"/>
              </w:rPr>
              <w:t>(see note 12)</w:t>
            </w:r>
            <w:r>
              <w:rPr>
                <w:rFonts w:ascii="Arial" w:cs="Arial" w:eastAsia="Arial" w:hAnsi="Arial"/>
                <w:sz w:val="18"/>
                <w:szCs w:val="18"/>
                <w:b w:val="1"/>
                <w:bCs w:val="1"/>
                <w:color w:val="auto"/>
              </w:rPr>
              <w: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720" w:type="dxa"/>
            <w:vAlign w:val="bottom"/>
          </w:tcPr>
          <w:p>
            <w:pPr>
              <w:ind w:left="720"/>
              <w:spacing w:after="0"/>
              <w:rPr>
                <w:sz w:val="20"/>
                <w:szCs w:val="20"/>
                <w:color w:val="auto"/>
              </w:rPr>
            </w:pPr>
            <w:r>
              <w:rPr>
                <w:rFonts w:ascii="Arial" w:cs="Arial" w:eastAsia="Arial" w:hAnsi="Arial"/>
                <w:sz w:val="18"/>
                <w:szCs w:val="18"/>
                <w:color w:val="auto"/>
              </w:rPr>
              <w:t>Net increase from capital stock activity</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8"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4"/>
                <w:szCs w:val="14"/>
                <w:b w:val="1"/>
                <w:bCs w:val="1"/>
                <w:color w:val="auto"/>
              </w:rPr>
              <w:t>March 31, 2022</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1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1,463</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21,510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Adjustments to reconcile net increase in net assets resulting from operations to net cash provided by (used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 operating activities: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Net realized (gain) loss on investments and cash equivalents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(gain) loss on investments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b w:val="1"/>
                <w:bCs w:val="1"/>
                <w:color w:val="auto"/>
              </w:rPr>
              <w:t>(Increase) decrease in operating assets: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(98,715)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Proceeds from disposition of investments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100,980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Capitalization of payment-in-kind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Collections of payment-in-kind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Receivable for investments sold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Dividends receivable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b w:val="1"/>
                <w:bCs w:val="1"/>
                <w:color w:val="auto"/>
              </w:rPr>
              <w:t>Increase (decrease) in operating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Payable for investments and cash equivalents purchased</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259,829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Management fee payable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Performance-based incentive fee payable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Administrative services expense payable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payable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Other liabilities and accrued expenses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Cash distributions paid</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(34,654)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unsecured borrowings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134,968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tcPr>
          <w:p>
            <w:pPr>
              <w:ind w:left="700"/>
              <w:spacing w:after="0"/>
              <w:rPr>
                <w:sz w:val="20"/>
                <w:szCs w:val="20"/>
                <w:color w:val="auto"/>
              </w:rPr>
            </w:pPr>
            <w:r>
              <w:rPr>
                <w:rFonts w:ascii="Arial" w:cs="Arial" w:eastAsia="Arial" w:hAnsi="Arial"/>
                <w:sz w:val="18"/>
                <w:szCs w:val="18"/>
                <w:color w:val="auto"/>
              </w:rPr>
              <w:t>Proceeds from secured borrowings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57,425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146,000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 of secured borrowings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8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265,969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588,904</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357,762</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8"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Spread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16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2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Industry</w:t>
            </w:r>
          </w:p>
        </w:tc>
        <w:tc>
          <w:tcPr>
            <w:tcW w:w="100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8"/>
              </w:rPr>
              <w:t>Above</w:t>
            </w: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Floor</w:t>
            </w:r>
          </w:p>
        </w:tc>
        <w:tc>
          <w:tcPr>
            <w:tcW w:w="74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 Amount</w:t>
            </w:r>
          </w:p>
        </w:tc>
        <w:tc>
          <w:tcPr>
            <w:tcW w:w="16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60" w:type="dxa"/>
            <w:vAlign w:val="bottom"/>
            <w:gridSpan w:val="7"/>
            <w:vMerge w:val="continue"/>
          </w:tcPr>
          <w:p>
            <w:pPr>
              <w:spacing w:after="0"/>
              <w:rPr>
                <w:sz w:val="13"/>
                <w:szCs w:val="13"/>
                <w:color w:val="auto"/>
              </w:rPr>
            </w:pPr>
          </w:p>
        </w:tc>
        <w:tc>
          <w:tcPr>
            <w:tcW w:w="2820" w:type="dxa"/>
            <w:vAlign w:val="bottom"/>
            <w:gridSpan w:val="2"/>
            <w:vMerge w:val="continue"/>
          </w:tcPr>
          <w:p>
            <w:pPr>
              <w:spacing w:after="0"/>
              <w:rPr>
                <w:sz w:val="13"/>
                <w:szCs w:val="13"/>
                <w:color w:val="auto"/>
              </w:rPr>
            </w:pPr>
          </w:p>
        </w:tc>
        <w:tc>
          <w:tcPr>
            <w:tcW w:w="100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(7)</w:t>
            </w:r>
          </w:p>
        </w:tc>
        <w:tc>
          <w:tcPr>
            <w:tcW w:w="640" w:type="dxa"/>
            <w:vAlign w:val="bottom"/>
            <w:gridSpan w:val="2"/>
            <w:vMerge w:val="continue"/>
          </w:tcPr>
          <w:p>
            <w:pPr>
              <w:spacing w:after="0"/>
              <w:rPr>
                <w:sz w:val="13"/>
                <w:szCs w:val="13"/>
                <w:color w:val="auto"/>
              </w:rPr>
            </w:pPr>
          </w:p>
        </w:tc>
        <w:tc>
          <w:tcPr>
            <w:tcW w:w="740" w:type="dxa"/>
            <w:vAlign w:val="bottom"/>
            <w:gridSpan w:val="2"/>
          </w:tcPr>
          <w:p>
            <w:pPr>
              <w:jc w:val="right"/>
              <w:ind w:right="280"/>
              <w:spacing w:after="0" w:line="157"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90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92"/>
              </w:rPr>
              <w:t>Date</w:t>
            </w:r>
          </w:p>
        </w:tc>
        <w:tc>
          <w:tcPr>
            <w:tcW w:w="920" w:type="dxa"/>
            <w:vAlign w:val="bottom"/>
            <w:gridSpan w:val="2"/>
          </w:tcPr>
          <w:p>
            <w:pPr>
              <w:jc w:val="center"/>
              <w:ind w:right="80"/>
              <w:spacing w:after="0" w:line="157" w:lineRule="exact"/>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40" w:type="dxa"/>
            <w:vAlign w:val="bottom"/>
            <w:gridSpan w:val="2"/>
          </w:tcPr>
          <w:p>
            <w:pPr>
              <w:jc w:val="right"/>
              <w:ind w:right="200"/>
              <w:spacing w:after="0" w:line="15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6"/>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Senior Secured</w:t>
            </w:r>
          </w:p>
        </w:tc>
        <w:tc>
          <w:tcPr>
            <w:tcW w:w="2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Loans — 109.8%</w:t>
            </w:r>
          </w:p>
        </w:tc>
        <w:tc>
          <w:tcPr>
            <w:tcW w:w="2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40" w:type="dxa"/>
            <w:vAlign w:val="bottom"/>
            <w:gridSpan w:val="6"/>
          </w:tcPr>
          <w:p>
            <w:pPr>
              <w:spacing w:after="0" w:line="175" w:lineRule="exact"/>
              <w:rPr>
                <w:sz w:val="20"/>
                <w:szCs w:val="20"/>
                <w:color w:val="auto"/>
              </w:rPr>
            </w:pPr>
            <w:r>
              <w:rPr>
                <w:rFonts w:ascii="Arial" w:cs="Arial" w:eastAsia="Arial" w:hAnsi="Arial"/>
                <w:sz w:val="18"/>
                <w:szCs w:val="18"/>
                <w:color w:val="auto"/>
              </w:rPr>
              <w:t>First Lien Bank</w:t>
            </w:r>
          </w:p>
        </w:tc>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Debt/Senior</w:t>
            </w:r>
          </w:p>
        </w:tc>
        <w:tc>
          <w:tcPr>
            <w:tcW w:w="540" w:type="dxa"/>
            <w:vAlign w:val="bottom"/>
            <w:gridSpan w:val="2"/>
          </w:tcPr>
          <w:p>
            <w:pPr>
              <w:spacing w:after="0"/>
              <w:rPr>
                <w:sz w:val="16"/>
                <w:szCs w:val="16"/>
                <w:color w:val="auto"/>
              </w:rPr>
            </w:pP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5"/>
          </w:tcPr>
          <w:p>
            <w:pPr>
              <w:spacing w:after="0" w:line="195" w:lineRule="exact"/>
              <w:rPr>
                <w:sz w:val="20"/>
                <w:szCs w:val="20"/>
                <w:color w:val="auto"/>
              </w:rPr>
            </w:pPr>
            <w:r>
              <w:rPr>
                <w:rFonts w:ascii="Arial" w:cs="Arial" w:eastAsia="Arial" w:hAnsi="Arial"/>
                <w:sz w:val="18"/>
                <w:szCs w:val="18"/>
                <w:color w:val="auto"/>
              </w:rPr>
              <w:t>Secured Loans</w:t>
            </w:r>
          </w:p>
        </w:tc>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Aegis Toxicology</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Sciences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Corporation</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Providers &amp; Services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L+550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5/7/2018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5/9/2025</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  11,172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11,071</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11,172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American</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Teleconferencing</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Services, Ltd.**</w:t>
            </w:r>
          </w:p>
        </w:tc>
        <w:tc>
          <w:tcPr>
            <w:tcW w:w="2820" w:type="dxa"/>
            <w:vAlign w:val="bottom"/>
            <w:gridSpan w:val="2"/>
          </w:tcPr>
          <w:p>
            <w:pPr>
              <w:spacing w:after="0"/>
              <w:rPr>
                <w:sz w:val="20"/>
                <w:szCs w:val="20"/>
                <w:color w:val="auto"/>
              </w:rPr>
            </w:pPr>
            <w:r>
              <w:rPr>
                <w:rFonts w:ascii="Arial" w:cs="Arial" w:eastAsia="Arial" w:hAnsi="Arial"/>
                <w:sz w:val="18"/>
                <w:szCs w:val="18"/>
                <w:color w:val="auto"/>
              </w:rPr>
              <w:t>Communications Equipment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L+650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5/5/2016</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9/9/2021</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24,822</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24,453</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American</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Teleconferencing</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Services, Ltd.**</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 Equipment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L+650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9/17/2021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4,487</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AmeriMark</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Intermediate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Holdings,</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LLC(14)</w:t>
            </w:r>
          </w:p>
        </w:tc>
        <w:tc>
          <w:tcPr>
            <w:tcW w:w="2820" w:type="dxa"/>
            <w:vAlign w:val="bottom"/>
            <w:gridSpan w:val="2"/>
          </w:tcPr>
          <w:p>
            <w:pPr>
              <w:spacing w:after="0"/>
              <w:rPr>
                <w:sz w:val="20"/>
                <w:szCs w:val="20"/>
                <w:color w:val="auto"/>
              </w:rPr>
            </w:pPr>
            <w:r>
              <w:rPr>
                <w:rFonts w:ascii="Arial" w:cs="Arial" w:eastAsia="Arial" w:hAnsi="Arial"/>
                <w:sz w:val="18"/>
                <w:szCs w:val="18"/>
                <w:color w:val="auto"/>
              </w:rPr>
              <w:t>Internet &amp; Catalog Retail</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L+600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7/28/2021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10/15/2026</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24,824</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24,366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24,328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Atria Wealth</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Solutions, Inc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Financial Services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9/14/2018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11/30/2022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6,317</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40" w:type="dxa"/>
            <w:vAlign w:val="bottom"/>
            <w:gridSpan w:val="6"/>
          </w:tcPr>
          <w:p>
            <w:pPr>
              <w:spacing w:after="0"/>
              <w:rPr>
                <w:sz w:val="20"/>
                <w:szCs w:val="20"/>
                <w:color w:val="auto"/>
              </w:rPr>
            </w:pPr>
            <w:r>
              <w:rPr>
                <w:rFonts w:ascii="Arial" w:cs="Arial" w:eastAsia="Arial" w:hAnsi="Arial"/>
                <w:sz w:val="18"/>
                <w:szCs w:val="18"/>
                <w:color w:val="auto"/>
              </w:rPr>
              <w:t>Basic Fun, Inc</w:t>
            </w:r>
          </w:p>
        </w:tc>
        <w:tc>
          <w:tcPr>
            <w:tcW w:w="2820" w:type="dxa"/>
            <w:vAlign w:val="bottom"/>
            <w:gridSpan w:val="2"/>
          </w:tcPr>
          <w:p>
            <w:pPr>
              <w:spacing w:after="0"/>
              <w:rPr>
                <w:sz w:val="20"/>
                <w:szCs w:val="20"/>
                <w:color w:val="auto"/>
              </w:rPr>
            </w:pPr>
            <w:r>
              <w:rPr>
                <w:rFonts w:ascii="Arial" w:cs="Arial" w:eastAsia="Arial" w:hAnsi="Arial"/>
                <w:sz w:val="18"/>
                <w:szCs w:val="18"/>
                <w:color w:val="auto"/>
              </w:rPr>
              <w:t>Specialty Retail</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L+550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10/30/2020</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10/30/2023</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8"/>
                <w:szCs w:val="18"/>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2,132</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CC SAG Holdings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Corp. (Spectrum</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Automotive)</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0.75%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6/29/2028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12,064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w w:val="93"/>
              </w:rPr>
              <w:t>Enhanced Permanent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Capital, LLC(3)</w:t>
            </w:r>
          </w:p>
        </w:tc>
        <w:tc>
          <w:tcPr>
            <w:tcW w:w="2820" w:type="dxa"/>
            <w:vAlign w:val="bottom"/>
            <w:gridSpan w:val="2"/>
          </w:tcPr>
          <w:p>
            <w:pPr>
              <w:spacing w:after="0"/>
              <w:rPr>
                <w:sz w:val="20"/>
                <w:szCs w:val="20"/>
                <w:color w:val="auto"/>
              </w:rPr>
            </w:pPr>
            <w:r>
              <w:rPr>
                <w:rFonts w:ascii="Arial" w:cs="Arial" w:eastAsia="Arial" w:hAnsi="Arial"/>
                <w:sz w:val="18"/>
                <w:szCs w:val="18"/>
                <w:color w:val="auto"/>
              </w:rPr>
              <w:t>Capital Markets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L+700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12/29/2020</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12/29/2025</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35,205</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34,345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35,205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Foundation</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Consumer Brands,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LLC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Products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L+550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2/12/2027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33,367</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32,662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40" w:type="dxa"/>
            <w:vAlign w:val="bottom"/>
            <w:gridSpan w:val="6"/>
          </w:tcPr>
          <w:p>
            <w:pPr>
              <w:spacing w:after="0"/>
              <w:rPr>
                <w:sz w:val="20"/>
                <w:szCs w:val="20"/>
                <w:color w:val="auto"/>
              </w:rPr>
            </w:pPr>
            <w:r>
              <w:rPr>
                <w:rFonts w:ascii="Arial" w:cs="Arial" w:eastAsia="Arial" w:hAnsi="Arial"/>
                <w:sz w:val="18"/>
                <w:szCs w:val="18"/>
                <w:color w:val="auto"/>
              </w:rPr>
              <w:t>iCIMS, Inc.</w:t>
            </w:r>
          </w:p>
        </w:tc>
        <w:tc>
          <w:tcPr>
            <w:tcW w:w="28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L+650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9/7/2018</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9/12/2024</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19,341</w:t>
            </w:r>
          </w:p>
        </w:tc>
        <w:tc>
          <w:tcPr>
            <w:tcW w:w="1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19,138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Inszone Mid, LLC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9/28/2021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6/30/2026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12,800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w w:val="98"/>
              </w:rPr>
              <w:t>Ivy Fertility Services,</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LLC</w:t>
            </w:r>
          </w:p>
        </w:tc>
        <w:tc>
          <w:tcPr>
            <w:tcW w:w="2820" w:type="dxa"/>
            <w:vAlign w:val="bottom"/>
            <w:gridSpan w:val="2"/>
          </w:tcPr>
          <w:p>
            <w:pPr>
              <w:spacing w:after="0"/>
              <w:rPr>
                <w:sz w:val="20"/>
                <w:szCs w:val="20"/>
                <w:color w:val="auto"/>
              </w:rPr>
            </w:pPr>
            <w:r>
              <w:rPr>
                <w:rFonts w:ascii="Arial" w:cs="Arial" w:eastAsia="Arial" w:hAnsi="Arial"/>
                <w:sz w:val="18"/>
                <w:szCs w:val="18"/>
                <w:color w:val="auto"/>
              </w:rPr>
              <w:t>Health Care Providers &amp; Services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L+625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12/22/2021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2/25/2026</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21,677</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21,319</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21,297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Kid Distro Holdings,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LLC (Distro Kid)</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9/24/2021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10/1/2027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29,668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29,115</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29,371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Kingsbridge</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Holdings, LLC(2)</w:t>
            </w:r>
          </w:p>
        </w:tc>
        <w:tc>
          <w:tcPr>
            <w:tcW w:w="2820" w:type="dxa"/>
            <w:vAlign w:val="bottom"/>
            <w:gridSpan w:val="2"/>
          </w:tcPr>
          <w:p>
            <w:pPr>
              <w:spacing w:after="0"/>
              <w:rPr>
                <w:sz w:val="20"/>
                <w:szCs w:val="20"/>
                <w:color w:val="auto"/>
              </w:rPr>
            </w:pPr>
            <w:r>
              <w:rPr>
                <w:rFonts w:ascii="Arial" w:cs="Arial" w:eastAsia="Arial" w:hAnsi="Arial"/>
                <w:sz w:val="18"/>
                <w:szCs w:val="18"/>
                <w:color w:val="auto"/>
              </w:rPr>
              <w:t>Multi-Sector Holdings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L+700</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12/21/2018</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12/21/2024</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79,734</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KORE Wireless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Group, Inc.(3)</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Wireless Telecommunication Services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L+550</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12/21/2024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36,376</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36,000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Logix Holding</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Company, LLC</w:t>
            </w:r>
          </w:p>
        </w:tc>
        <w:tc>
          <w:tcPr>
            <w:tcW w:w="2820" w:type="dxa"/>
            <w:vAlign w:val="bottom"/>
            <w:gridSpan w:val="2"/>
          </w:tcPr>
          <w:p>
            <w:pPr>
              <w:spacing w:after="0"/>
              <w:rPr>
                <w:sz w:val="20"/>
                <w:szCs w:val="20"/>
                <w:color w:val="auto"/>
              </w:rPr>
            </w:pPr>
            <w:r>
              <w:rPr>
                <w:rFonts w:ascii="Arial" w:cs="Arial" w:eastAsia="Arial" w:hAnsi="Arial"/>
                <w:sz w:val="18"/>
                <w:szCs w:val="18"/>
                <w:color w:val="auto"/>
              </w:rPr>
              <w:t>Communications Equipment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9/14/2018</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12/22/2024</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7,380</w:t>
            </w:r>
          </w:p>
        </w:tc>
        <w:tc>
          <w:tcPr>
            <w:tcW w:w="16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7,342</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Maurices,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Incorporated</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L+675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8/27/2021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6/1/2024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5,934</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MMIT Holdings,</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LLC</w:t>
            </w:r>
          </w:p>
        </w:tc>
        <w:tc>
          <w:tcPr>
            <w:tcW w:w="2820" w:type="dxa"/>
            <w:vAlign w:val="bottom"/>
            <w:gridSpan w:val="2"/>
          </w:tcPr>
          <w:p>
            <w:pPr>
              <w:spacing w:after="0"/>
              <w:rPr>
                <w:sz w:val="20"/>
                <w:szCs w:val="20"/>
                <w:color w:val="auto"/>
              </w:rPr>
            </w:pPr>
            <w:r>
              <w:rPr>
                <w:rFonts w:ascii="Arial" w:cs="Arial" w:eastAsia="Arial" w:hAnsi="Arial"/>
                <w:sz w:val="18"/>
                <w:szCs w:val="18"/>
                <w:color w:val="auto"/>
              </w:rPr>
              <w:t>IT Services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L+625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7.25%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9/21/2021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9/15/2027</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30,662</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30,201</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30,662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NAC Holdings</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Corporation</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(Jaguar)</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L+525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7/30/2021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9/28/2024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16,156</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15,975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One Touch Direct,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LLC</w:t>
            </w:r>
          </w:p>
        </w:tc>
        <w:tc>
          <w:tcPr>
            <w:tcW w:w="2820" w:type="dxa"/>
            <w:vAlign w:val="bottom"/>
            <w:gridSpan w:val="2"/>
          </w:tcPr>
          <w:p>
            <w:pPr>
              <w:spacing w:after="0"/>
              <w:rPr>
                <w:sz w:val="20"/>
                <w:szCs w:val="20"/>
                <w:color w:val="auto"/>
              </w:rPr>
            </w:pPr>
            <w:r>
              <w:rPr>
                <w:rFonts w:ascii="Arial" w:cs="Arial" w:eastAsia="Arial" w:hAnsi="Arial"/>
                <w:sz w:val="18"/>
                <w:szCs w:val="18"/>
                <w:color w:val="auto"/>
              </w:rPr>
              <w:t>Commercial Services &amp; Supplies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P+75</w:t>
            </w:r>
          </w:p>
        </w:tc>
        <w:tc>
          <w:tcPr>
            <w:tcW w:w="640" w:type="dxa"/>
            <w:vAlign w:val="bottom"/>
            <w:gridSpan w:val="2"/>
            <w:vMerge w:val="continue"/>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4/3/2020</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9/30/2022</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2,830</w:t>
            </w:r>
          </w:p>
        </w:tc>
        <w:tc>
          <w:tcPr>
            <w:tcW w:w="16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2,830</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w w:val="97"/>
              </w:rPr>
              <w:t>PhyNet Dermatology</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LLC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Providers &amp; Services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L+600</w:t>
            </w:r>
            <w:r>
              <w:rPr>
                <w:rFonts w:ascii="Arial" w:cs="Arial" w:eastAsia="Arial" w:hAnsi="Arial"/>
                <w:sz w:val="15"/>
                <w:szCs w:val="15"/>
                <w:color w:val="auto"/>
              </w:rPr>
              <w:t>(17)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8/16/2024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14,564</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14,509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Pinnacle Treatment</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Centers, Inc.</w:t>
            </w:r>
          </w:p>
        </w:tc>
        <w:tc>
          <w:tcPr>
            <w:tcW w:w="2820" w:type="dxa"/>
            <w:vAlign w:val="bottom"/>
            <w:gridSpan w:val="2"/>
          </w:tcPr>
          <w:p>
            <w:pPr>
              <w:spacing w:after="0"/>
              <w:rPr>
                <w:sz w:val="20"/>
                <w:szCs w:val="20"/>
                <w:color w:val="auto"/>
              </w:rPr>
            </w:pPr>
            <w:r>
              <w:rPr>
                <w:rFonts w:ascii="Arial" w:cs="Arial" w:eastAsia="Arial" w:hAnsi="Arial"/>
                <w:sz w:val="18"/>
                <w:szCs w:val="18"/>
                <w:color w:val="auto"/>
              </w:rPr>
              <w:t>Health Care Providers &amp; Services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1/22/2020</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12/31/2022</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11,966</w:t>
            </w:r>
          </w:p>
        </w:tc>
        <w:tc>
          <w:tcPr>
            <w:tcW w:w="160" w:type="dxa"/>
            <w:vAlign w:val="bottom"/>
          </w:tcPr>
          <w:p>
            <w:pPr>
              <w:spacing w:after="0"/>
              <w:rPr>
                <w:sz w:val="19"/>
                <w:szCs w:val="19"/>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w w:val="83"/>
              </w:rPr>
              <w:t>11,933</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PPT Management</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Holdings, LLC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Providers &amp; Services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L+850</w:t>
            </w:r>
            <w:r>
              <w:rPr>
                <w:rFonts w:ascii="Arial" w:cs="Arial" w:eastAsia="Arial" w:hAnsi="Arial"/>
                <w:sz w:val="15"/>
                <w:szCs w:val="15"/>
                <w:color w:val="auto"/>
              </w:rPr>
              <w:t>(15)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9/14/2018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12/16/2022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21,185</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21,160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40" w:type="dxa"/>
            <w:vAlign w:val="bottom"/>
            <w:gridSpan w:val="6"/>
          </w:tcPr>
          <w:p>
            <w:pPr>
              <w:spacing w:after="0"/>
              <w:rPr>
                <w:sz w:val="20"/>
                <w:szCs w:val="20"/>
                <w:color w:val="auto"/>
              </w:rPr>
            </w:pPr>
            <w:r>
              <w:rPr>
                <w:rFonts w:ascii="Arial" w:cs="Arial" w:eastAsia="Arial" w:hAnsi="Arial"/>
                <w:sz w:val="18"/>
                <w:szCs w:val="18"/>
                <w:color w:val="auto"/>
              </w:rPr>
              <w:t>RQM+ Corp</w:t>
            </w:r>
          </w:p>
        </w:tc>
        <w:tc>
          <w:tcPr>
            <w:tcW w:w="2820" w:type="dxa"/>
            <w:vAlign w:val="bottom"/>
            <w:gridSpan w:val="2"/>
          </w:tcPr>
          <w:p>
            <w:pPr>
              <w:spacing w:after="0"/>
              <w:rPr>
                <w:sz w:val="20"/>
                <w:szCs w:val="20"/>
                <w:color w:val="auto"/>
              </w:rPr>
            </w:pPr>
            <w:r>
              <w:rPr>
                <w:rFonts w:ascii="Arial" w:cs="Arial" w:eastAsia="Arial" w:hAnsi="Arial"/>
                <w:sz w:val="18"/>
                <w:szCs w:val="18"/>
                <w:color w:val="auto"/>
              </w:rPr>
              <w:t>Life Sciences Tools &amp; Services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8/20/2021</w:t>
            </w: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8/12/2026</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16,462</w:t>
            </w:r>
          </w:p>
        </w:tc>
        <w:tc>
          <w:tcPr>
            <w:tcW w:w="16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16,315</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16,462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Stryten Energy LLC</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Parts &amp; Equipment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L+800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8/11/2021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10/12/2026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26,119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25,633</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26,119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SunMed Group</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Holdings, LLC</w:t>
            </w:r>
          </w:p>
        </w:tc>
        <w:tc>
          <w:tcPr>
            <w:tcW w:w="2820" w:type="dxa"/>
            <w:vAlign w:val="bottom"/>
            <w:gridSpan w:val="2"/>
          </w:tcPr>
          <w:p>
            <w:pPr>
              <w:spacing w:after="0"/>
              <w:rPr>
                <w:sz w:val="20"/>
                <w:szCs w:val="20"/>
                <w:color w:val="auto"/>
              </w:rPr>
            </w:pPr>
            <w:r>
              <w:rPr>
                <w:rFonts w:ascii="Arial" w:cs="Arial" w:eastAsia="Arial" w:hAnsi="Arial"/>
                <w:sz w:val="18"/>
                <w:szCs w:val="18"/>
                <w:color w:val="auto"/>
              </w:rPr>
              <w:t>Health Care Equipment &amp; Supplies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L+575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0.75%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6/16/2021</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6/16/2028</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18,490</w:t>
            </w: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rPr>
              <w:t>18,196</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Ultimate Baked</w:t>
            </w:r>
          </w:p>
        </w:tc>
        <w:tc>
          <w:tcPr>
            <w:tcW w:w="2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Goods Midco LLC</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(Rise Baking)</w:t>
            </w: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Packaged Foods &amp; Meats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L+625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8/12/2021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8/13/2027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19,602</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19,152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40" w:type="dxa"/>
            <w:vAlign w:val="bottom"/>
            <w:gridSpan w:val="6"/>
          </w:tcPr>
          <w:p>
            <w:pPr>
              <w:spacing w:after="0" w:line="201" w:lineRule="exact"/>
              <w:rPr>
                <w:sz w:val="20"/>
                <w:szCs w:val="20"/>
                <w:color w:val="auto"/>
              </w:rPr>
            </w:pPr>
            <w:r>
              <w:rPr>
                <w:rFonts w:ascii="Arial" w:cs="Arial" w:eastAsia="Arial" w:hAnsi="Arial"/>
                <w:sz w:val="18"/>
                <w:szCs w:val="18"/>
                <w:color w:val="auto"/>
              </w:rPr>
              <w:t>USR Parent, Inc.</w:t>
            </w:r>
          </w:p>
        </w:tc>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5"/>
          </w:tcPr>
          <w:p>
            <w:pPr>
              <w:spacing w:after="0"/>
              <w:rPr>
                <w:sz w:val="20"/>
                <w:szCs w:val="20"/>
                <w:color w:val="auto"/>
              </w:rPr>
            </w:pPr>
            <w:r>
              <w:rPr>
                <w:rFonts w:ascii="Arial" w:cs="Arial" w:eastAsia="Arial" w:hAnsi="Arial"/>
                <w:sz w:val="18"/>
                <w:szCs w:val="18"/>
                <w:color w:val="auto"/>
              </w:rPr>
              <w:t>(Staples)</w:t>
            </w:r>
          </w:p>
        </w:tc>
        <w:tc>
          <w:tcPr>
            <w:tcW w:w="2820" w:type="dxa"/>
            <w:vAlign w:val="bottom"/>
            <w:gridSpan w:val="2"/>
          </w:tcPr>
          <w:p>
            <w:pPr>
              <w:spacing w:after="0"/>
              <w:rPr>
                <w:sz w:val="20"/>
                <w:szCs w:val="20"/>
                <w:color w:val="auto"/>
              </w:rPr>
            </w:pPr>
            <w:r>
              <w:rPr>
                <w:rFonts w:ascii="Arial" w:cs="Arial" w:eastAsia="Arial" w:hAnsi="Arial"/>
                <w:sz w:val="18"/>
                <w:szCs w:val="18"/>
                <w:color w:val="auto"/>
              </w:rPr>
              <w:t>Specialty Retail</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L+884</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6/3/2020</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9/12/2022</w:t>
            </w:r>
          </w:p>
        </w:tc>
        <w:tc>
          <w:tcPr>
            <w:tcW w:w="1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9"/>
                <w:szCs w:val="19"/>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auto"/>
                <w:w w:val="84"/>
              </w:rPr>
              <w:t>2,963</w:t>
            </w:r>
          </w:p>
        </w:tc>
        <w:tc>
          <w:tcPr>
            <w:tcW w:w="16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45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20" w:type="dxa"/>
            <w:vAlign w:val="bottom"/>
            <w:gridSpan w:val="8"/>
            <w:shd w:val="clear" w:color="auto" w:fill="CCEEFF"/>
          </w:tcPr>
          <w:p>
            <w:pPr>
              <w:ind w:left="540"/>
              <w:spacing w:after="0"/>
              <w:rPr>
                <w:sz w:val="20"/>
                <w:szCs w:val="20"/>
                <w:color w:val="auto"/>
              </w:rPr>
            </w:pPr>
            <w:r>
              <w:rPr>
                <w:rFonts w:ascii="Arial" w:cs="Arial" w:eastAsia="Arial" w:hAnsi="Arial"/>
                <w:sz w:val="18"/>
                <w:szCs w:val="18"/>
                <w:color w:val="auto"/>
                <w:w w:val="96"/>
              </w:rPr>
              <w:t>Total First Lien Bank Debt/Senior Secured Loans</w:t>
            </w: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542,146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522,737</w:t>
            </w:r>
          </w:p>
        </w:tc>
        <w:tc>
          <w:tcPr>
            <w:tcW w:w="0" w:type="dxa"/>
            <w:vAlign w:val="bottom"/>
          </w:tcPr>
          <w:p>
            <w:pPr>
              <w:spacing w:after="0"/>
              <w:rPr>
                <w:sz w:val="1"/>
                <w:szCs w:val="1"/>
                <w:color w:val="auto"/>
              </w:rPr>
            </w:pPr>
          </w:p>
        </w:tc>
      </w:tr>
      <w:tr>
        <w:trPr>
          <w:trHeight w:val="182"/>
        </w:trPr>
        <w:tc>
          <w:tcPr>
            <w:tcW w:w="1600" w:type="dxa"/>
            <w:vAlign w:val="bottom"/>
            <w:gridSpan w:val="9"/>
          </w:tcPr>
          <w:p>
            <w:pPr>
              <w:spacing w:after="0" w:line="182" w:lineRule="exact"/>
              <w:rPr>
                <w:sz w:val="20"/>
                <w:szCs w:val="20"/>
                <w:color w:val="auto"/>
              </w:rPr>
            </w:pPr>
            <w:r>
              <w:rPr>
                <w:rFonts w:ascii="Arial" w:cs="Arial" w:eastAsia="Arial" w:hAnsi="Arial"/>
                <w:sz w:val="18"/>
                <w:szCs w:val="18"/>
                <w:color w:val="auto"/>
              </w:rPr>
              <w:t>Second Lien Asset-</w:t>
            </w:r>
          </w:p>
        </w:tc>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3"/>
          </w:tcPr>
          <w:p>
            <w:pPr>
              <w:spacing w:after="0" w:line="195" w:lineRule="exact"/>
              <w:rPr>
                <w:sz w:val="20"/>
                <w:szCs w:val="20"/>
                <w:color w:val="auto"/>
              </w:rPr>
            </w:pPr>
            <w:r>
              <w:rPr>
                <w:rFonts w:ascii="Arial" w:cs="Arial" w:eastAsia="Arial" w:hAnsi="Arial"/>
                <w:sz w:val="18"/>
                <w:szCs w:val="18"/>
                <w:color w:val="auto"/>
                <w:w w:val="86"/>
              </w:rPr>
              <w:t>Based Senior</w:t>
            </w:r>
          </w:p>
        </w:tc>
        <w:tc>
          <w:tcPr>
            <w:tcW w:w="260" w:type="dxa"/>
            <w:vAlign w:val="bottom"/>
            <w:tcBorders>
              <w:top w:val="single" w:sz="8" w:color="auto"/>
            </w:tcBorders>
            <w:gridSpan w:val="3"/>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7"/>
          </w:tcPr>
          <w:p>
            <w:pPr>
              <w:spacing w:after="0" w:line="195" w:lineRule="exact"/>
              <w:rPr>
                <w:sz w:val="20"/>
                <w:szCs w:val="20"/>
                <w:color w:val="auto"/>
              </w:rPr>
            </w:pPr>
            <w:r>
              <w:rPr>
                <w:rFonts w:ascii="Arial" w:cs="Arial" w:eastAsia="Arial" w:hAnsi="Arial"/>
                <w:sz w:val="18"/>
                <w:szCs w:val="18"/>
                <w:color w:val="auto"/>
              </w:rPr>
              <w:t>Secured Loans</w:t>
            </w: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5"/>
              </w:rPr>
              <w:t>ACRES Commercial</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Mortgage, LLC</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Diversified Financial Services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L+705</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12/24/2021</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8/21/2028</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tcPr>
          <w:p>
            <w:pPr>
              <w:spacing w:after="0" w:line="201" w:lineRule="exact"/>
              <w:rPr>
                <w:sz w:val="20"/>
                <w:szCs w:val="20"/>
                <w:color w:val="auto"/>
              </w:rPr>
            </w:pPr>
            <w:r>
              <w:rPr>
                <w:rFonts w:ascii="Arial" w:cs="Arial" w:eastAsia="Arial" w:hAnsi="Arial"/>
                <w:sz w:val="18"/>
                <w:szCs w:val="18"/>
                <w:color w:val="auto"/>
              </w:rPr>
              <w:t>Varilease Finance,</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rPr>
              <w:t>Inc.</w:t>
            </w:r>
          </w:p>
        </w:tc>
        <w:tc>
          <w:tcPr>
            <w:tcW w:w="2900" w:type="dxa"/>
            <w:vAlign w:val="bottom"/>
          </w:tcPr>
          <w:p>
            <w:pPr>
              <w:ind w:left="60"/>
              <w:spacing w:after="0"/>
              <w:rPr>
                <w:sz w:val="20"/>
                <w:szCs w:val="20"/>
                <w:color w:val="auto"/>
              </w:rPr>
            </w:pPr>
            <w:r>
              <w:rPr>
                <w:rFonts w:ascii="Arial" w:cs="Arial" w:eastAsia="Arial" w:hAnsi="Arial"/>
                <w:sz w:val="18"/>
                <w:szCs w:val="18"/>
                <w:color w:val="auto"/>
              </w:rPr>
              <w:t>Multi-Sector Holdings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L+750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8/22/2014</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8"/>
              </w:rPr>
              <w:t>11/15/2025</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29,563</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29,473</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20" w:type="dxa"/>
            <w:vAlign w:val="bottom"/>
            <w:gridSpan w:val="9"/>
            <w:shd w:val="clear" w:color="auto" w:fill="CCEEFF"/>
          </w:tcPr>
          <w:p>
            <w:pPr>
              <w:ind w:left="540"/>
              <w:spacing w:after="0"/>
              <w:rPr>
                <w:sz w:val="20"/>
                <w:szCs w:val="20"/>
                <w:color w:val="auto"/>
              </w:rPr>
            </w:pPr>
            <w:r>
              <w:rPr>
                <w:rFonts w:ascii="Arial" w:cs="Arial" w:eastAsia="Arial" w:hAnsi="Arial"/>
                <w:sz w:val="18"/>
                <w:szCs w:val="18"/>
                <w:color w:val="auto"/>
              </w:rPr>
              <w:t>Total Second Lien Asset-Based Senior Secured Loans</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58,889</w:t>
            </w:r>
          </w:p>
        </w:tc>
        <w:tc>
          <w:tcPr>
            <w:tcW w:w="0" w:type="dxa"/>
            <w:vAlign w:val="bottom"/>
          </w:tcPr>
          <w:p>
            <w:pPr>
              <w:spacing w:after="0"/>
              <w:rPr>
                <w:sz w:val="1"/>
                <w:szCs w:val="1"/>
                <w:color w:val="auto"/>
              </w:rPr>
            </w:pPr>
          </w:p>
        </w:tc>
      </w:tr>
      <w:tr>
        <w:trPr>
          <w:trHeight w:val="182"/>
        </w:trPr>
        <w:tc>
          <w:tcPr>
            <w:tcW w:w="1600" w:type="dxa"/>
            <w:vAlign w:val="bottom"/>
            <w:gridSpan w:val="9"/>
          </w:tcPr>
          <w:p>
            <w:pPr>
              <w:spacing w:after="0" w:line="182" w:lineRule="exact"/>
              <w:rPr>
                <w:sz w:val="20"/>
                <w:szCs w:val="20"/>
                <w:color w:val="auto"/>
              </w:rPr>
            </w:pPr>
            <w:r>
              <w:rPr>
                <w:rFonts w:ascii="Arial" w:cs="Arial" w:eastAsia="Arial" w:hAnsi="Arial"/>
                <w:sz w:val="18"/>
                <w:szCs w:val="18"/>
                <w:color w:val="auto"/>
              </w:rPr>
              <w:t>Second Lien Bank</w:t>
            </w:r>
          </w:p>
        </w:tc>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2"/>
          </w:tcPr>
          <w:p>
            <w:pPr>
              <w:spacing w:after="0" w:line="195" w:lineRule="exact"/>
              <w:rPr>
                <w:sz w:val="20"/>
                <w:szCs w:val="20"/>
                <w:color w:val="auto"/>
              </w:rPr>
            </w:pPr>
            <w:r>
              <w:rPr>
                <w:rFonts w:ascii="Arial" w:cs="Arial" w:eastAsia="Arial" w:hAnsi="Arial"/>
                <w:sz w:val="18"/>
                <w:szCs w:val="18"/>
                <w:color w:val="auto"/>
                <w:w w:val="90"/>
              </w:rPr>
              <w:t>Debt/Senior</w:t>
            </w:r>
          </w:p>
        </w:tc>
        <w:tc>
          <w:tcPr>
            <w:tcW w:w="260" w:type="dxa"/>
            <w:vAlign w:val="bottom"/>
            <w:tcBorders>
              <w:top w:val="single" w:sz="8" w:color="auto"/>
            </w:tcBorders>
            <w:gridSpan w:val="3"/>
          </w:tcPr>
          <w:p>
            <w:pPr>
              <w:spacing w:after="0"/>
              <w:rPr>
                <w:sz w:val="16"/>
                <w:szCs w:val="16"/>
                <w:color w:val="auto"/>
              </w:rPr>
            </w:pPr>
          </w:p>
        </w:tc>
        <w:tc>
          <w:tcPr>
            <w:tcW w:w="280" w:type="dxa"/>
            <w:vAlign w:val="bottom"/>
            <w:gridSpan w:val="2"/>
          </w:tcPr>
          <w:p>
            <w:pPr>
              <w:spacing w:after="0"/>
              <w:rPr>
                <w:sz w:val="16"/>
                <w:szCs w:val="16"/>
                <w:color w:val="auto"/>
              </w:rPr>
            </w:pP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7"/>
          </w:tcPr>
          <w:p>
            <w:pPr>
              <w:spacing w:after="0" w:line="195" w:lineRule="exact"/>
              <w:rPr>
                <w:sz w:val="20"/>
                <w:szCs w:val="20"/>
                <w:color w:val="auto"/>
              </w:rPr>
            </w:pPr>
            <w:r>
              <w:rPr>
                <w:rFonts w:ascii="Arial" w:cs="Arial" w:eastAsia="Arial" w:hAnsi="Arial"/>
                <w:sz w:val="18"/>
                <w:szCs w:val="18"/>
                <w:color w:val="auto"/>
              </w:rPr>
              <w:t>Secured Loans</w:t>
            </w: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PhyMed</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Management</w:t>
            </w:r>
          </w:p>
        </w:tc>
        <w:tc>
          <w:tcPr>
            <w:tcW w:w="2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LLC **</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Health Care Providers &amp; Services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L+1500</w:t>
            </w:r>
            <w:r>
              <w:rPr>
                <w:rFonts w:ascii="Arial" w:cs="Arial" w:eastAsia="Arial" w:hAnsi="Arial"/>
                <w:sz w:val="15"/>
                <w:szCs w:val="15"/>
                <w:color w:val="auto"/>
                <w:w w:val="98"/>
              </w:rPr>
              <w:t>(16)</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12/18/2015</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9/30/2022</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8"/>
                <w:szCs w:val="18"/>
                <w:color w:val="auto"/>
                <w:w w:val="99"/>
              </w:rPr>
              <w:t>Rug Doctor LLC (2)</w:t>
            </w:r>
          </w:p>
        </w:tc>
        <w:tc>
          <w:tcPr>
            <w:tcW w:w="2900" w:type="dxa"/>
            <w:vAlign w:val="bottom"/>
          </w:tcPr>
          <w:p>
            <w:pPr>
              <w:ind w:left="60"/>
              <w:spacing w:after="0"/>
              <w:rPr>
                <w:sz w:val="20"/>
                <w:szCs w:val="20"/>
                <w:color w:val="auto"/>
              </w:rPr>
            </w:pPr>
            <w:r>
              <w:rPr>
                <w:rFonts w:ascii="Arial" w:cs="Arial" w:eastAsia="Arial" w:hAnsi="Arial"/>
                <w:sz w:val="18"/>
                <w:szCs w:val="18"/>
                <w:color w:val="auto"/>
              </w:rPr>
              <w:t>Diversified Consumer Services</w:t>
            </w:r>
          </w:p>
        </w:tc>
        <w:tc>
          <w:tcPr>
            <w:tcW w:w="900" w:type="dxa"/>
            <w:vAlign w:val="bottom"/>
          </w:tcPr>
          <w:p>
            <w:pPr>
              <w:jc w:val="right"/>
              <w:spacing w:after="0"/>
              <w:rPr>
                <w:sz w:val="20"/>
                <w:szCs w:val="20"/>
                <w:color w:val="auto"/>
              </w:rPr>
            </w:pPr>
            <w:r>
              <w:rPr>
                <w:rFonts w:ascii="Arial" w:cs="Arial" w:eastAsia="Arial" w:hAnsi="Arial"/>
                <w:sz w:val="18"/>
                <w:szCs w:val="18"/>
                <w:color w:val="auto"/>
              </w:rPr>
              <w:t>L+975</w:t>
            </w:r>
            <w:r>
              <w:rPr>
                <w:rFonts w:ascii="Arial" w:cs="Arial" w:eastAsia="Arial" w:hAnsi="Arial"/>
                <w:sz w:val="15"/>
                <w:szCs w:val="15"/>
                <w:color w:val="auto"/>
              </w:rPr>
              <w:t>(11)</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700" w:type="dxa"/>
            <w:vAlign w:val="bottom"/>
          </w:tcPr>
          <w:p>
            <w:pPr>
              <w:jc w:val="right"/>
              <w:spacing w:after="0"/>
              <w:rPr>
                <w:sz w:val="20"/>
                <w:szCs w:val="20"/>
                <w:color w:val="auto"/>
              </w:rPr>
            </w:pPr>
            <w:r>
              <w:rPr>
                <w:rFonts w:ascii="Arial" w:cs="Arial" w:eastAsia="Arial" w:hAnsi="Arial"/>
                <w:sz w:val="18"/>
                <w:szCs w:val="18"/>
                <w:color w:val="auto"/>
              </w:rPr>
              <w:t>11.25%</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9"/>
              </w:rPr>
              <w:t>5/16/2023</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12,164</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12,156</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20" w:type="dxa"/>
            <w:vAlign w:val="bottom"/>
            <w:gridSpan w:val="8"/>
            <w:shd w:val="clear" w:color="auto" w:fill="CCEEFF"/>
          </w:tcPr>
          <w:p>
            <w:pPr>
              <w:ind w:left="540"/>
              <w:spacing w:after="0"/>
              <w:rPr>
                <w:sz w:val="20"/>
                <w:szCs w:val="20"/>
                <w:color w:val="auto"/>
              </w:rPr>
            </w:pPr>
            <w:r>
              <w:rPr>
                <w:rFonts w:ascii="Arial" w:cs="Arial" w:eastAsia="Arial" w:hAnsi="Arial"/>
                <w:sz w:val="18"/>
                <w:szCs w:val="18"/>
                <w:color w:val="auto"/>
                <w:w w:val="90"/>
              </w:rPr>
              <w:t>Total Second Lien Bank Debt/Senior Secured Loans</w:t>
            </w: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182"/>
        </w:trPr>
        <w:tc>
          <w:tcPr>
            <w:tcW w:w="1600" w:type="dxa"/>
            <w:vAlign w:val="bottom"/>
            <w:gridSpan w:val="9"/>
          </w:tcPr>
          <w:p>
            <w:pPr>
              <w:spacing w:after="0" w:line="182" w:lineRule="exact"/>
              <w:rPr>
                <w:sz w:val="20"/>
                <w:szCs w:val="20"/>
                <w:color w:val="auto"/>
              </w:rPr>
            </w:pPr>
            <w:r>
              <w:rPr>
                <w:rFonts w:ascii="Arial" w:cs="Arial" w:eastAsia="Arial" w:hAnsi="Arial"/>
                <w:sz w:val="18"/>
                <w:szCs w:val="18"/>
                <w:color w:val="auto"/>
              </w:rPr>
              <w:t>First Lien Life</w:t>
            </w:r>
          </w:p>
        </w:tc>
        <w:tc>
          <w:tcPr>
            <w:tcW w:w="2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7"/>
          </w:tcPr>
          <w:p>
            <w:pPr>
              <w:spacing w:after="0" w:line="195" w:lineRule="exact"/>
              <w:rPr>
                <w:sz w:val="20"/>
                <w:szCs w:val="20"/>
                <w:color w:val="auto"/>
              </w:rPr>
            </w:pPr>
            <w:r>
              <w:rPr>
                <w:rFonts w:ascii="Arial" w:cs="Arial" w:eastAsia="Arial" w:hAnsi="Arial"/>
                <w:sz w:val="18"/>
                <w:szCs w:val="18"/>
                <w:color w:val="auto"/>
              </w:rPr>
              <w:t>Science Senior</w:t>
            </w: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7"/>
          </w:tcPr>
          <w:p>
            <w:pPr>
              <w:spacing w:after="0" w:line="195" w:lineRule="exact"/>
              <w:rPr>
                <w:sz w:val="20"/>
                <w:szCs w:val="20"/>
                <w:color w:val="auto"/>
              </w:rPr>
            </w:pPr>
            <w:r>
              <w:rPr>
                <w:rFonts w:ascii="Arial" w:cs="Arial" w:eastAsia="Arial" w:hAnsi="Arial"/>
                <w:sz w:val="18"/>
                <w:szCs w:val="18"/>
                <w:color w:val="auto"/>
              </w:rPr>
              <w:t>Secured Loans</w:t>
            </w:r>
          </w:p>
        </w:tc>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Alimera Sciences,</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L+765</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7/1/2024  $</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20,568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tcPr>
          <w:p>
            <w:pPr>
              <w:spacing w:after="0" w:line="201" w:lineRule="exact"/>
              <w:rPr>
                <w:sz w:val="20"/>
                <w:szCs w:val="20"/>
                <w:color w:val="auto"/>
              </w:rPr>
            </w:pPr>
            <w:r>
              <w:rPr>
                <w:rFonts w:ascii="Arial" w:cs="Arial" w:eastAsia="Arial" w:hAnsi="Arial"/>
                <w:sz w:val="18"/>
                <w:szCs w:val="18"/>
                <w:color w:val="auto"/>
              </w:rPr>
              <w:t>Arcutis</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rPr>
              <w:t>Biotherapeutics,</w:t>
            </w:r>
          </w:p>
        </w:tc>
        <w:tc>
          <w:tcPr>
            <w:tcW w:w="2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rPr>
              <w:t>Inc.(3)</w:t>
            </w:r>
          </w:p>
        </w:tc>
        <w:tc>
          <w:tcPr>
            <w:tcW w:w="2900" w:type="dxa"/>
            <w:vAlign w:val="bottom"/>
          </w:tcPr>
          <w:p>
            <w:pPr>
              <w:ind w:left="60"/>
              <w:spacing w:after="0"/>
              <w:rPr>
                <w:sz w:val="20"/>
                <w:szCs w:val="20"/>
                <w:color w:val="auto"/>
              </w:rPr>
            </w:pPr>
            <w:r>
              <w:rPr>
                <w:rFonts w:ascii="Arial" w:cs="Arial" w:eastAsia="Arial" w:hAnsi="Arial"/>
                <w:sz w:val="18"/>
                <w:szCs w:val="18"/>
                <w:color w:val="auto"/>
              </w:rPr>
              <w:t>Pharamceuticals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L+745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tcPr>
          <w:p>
            <w:pPr>
              <w:jc w:val="right"/>
              <w:spacing w:after="0"/>
              <w:rPr>
                <w:sz w:val="20"/>
                <w:szCs w:val="20"/>
                <w:color w:val="auto"/>
              </w:rPr>
            </w:pPr>
            <w:r>
              <w:rPr>
                <w:rFonts w:ascii="Arial" w:cs="Arial" w:eastAsia="Arial" w:hAnsi="Arial"/>
                <w:sz w:val="18"/>
                <w:szCs w:val="18"/>
                <w:color w:val="auto"/>
              </w:rPr>
              <w:t>7.55%</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12/22/2021</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1/1/2027</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21,735</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21,724</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Ardelyx, Inc.</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L+795</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2/23/2022</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3/1/2027</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7,846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8"/>
                <w:szCs w:val="18"/>
                <w:color w:val="auto"/>
              </w:rPr>
              <w:t>Axcella Health Inc.</w:t>
            </w:r>
          </w:p>
        </w:tc>
        <w:tc>
          <w:tcPr>
            <w:tcW w:w="2900" w:type="dxa"/>
            <w:vAlign w:val="bottom"/>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L+860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9/2/2021</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9/1/2026</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9,278</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9,347</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9,348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BridgeBio Pharma,</w:t>
            </w:r>
          </w:p>
        </w:tc>
        <w:tc>
          <w:tcPr>
            <w:tcW w:w="290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Inc.(3)</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Biotechnology</w:t>
            </w:r>
          </w:p>
        </w:tc>
        <w:tc>
          <w:tcPr>
            <w:tcW w:w="9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11/17/2021</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8"/>
              </w:rPr>
              <w:t>11/17/2026</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34,709</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34,272</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34,362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tcPr>
          <w:p>
            <w:pPr>
              <w:spacing w:after="0" w:line="201" w:lineRule="exact"/>
              <w:rPr>
                <w:sz w:val="20"/>
                <w:szCs w:val="20"/>
                <w:color w:val="auto"/>
              </w:rPr>
            </w:pPr>
            <w:r>
              <w:rPr>
                <w:rFonts w:ascii="Arial" w:cs="Arial" w:eastAsia="Arial" w:hAnsi="Arial"/>
                <w:sz w:val="18"/>
                <w:szCs w:val="18"/>
                <w:color w:val="auto"/>
              </w:rPr>
              <w:t>Centrexion</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w w:val="97"/>
              </w:rPr>
              <w:t>Therapeutics, Inc.</w:t>
            </w:r>
          </w:p>
        </w:tc>
        <w:tc>
          <w:tcPr>
            <w:tcW w:w="2900" w:type="dxa"/>
            <w:vAlign w:val="bottom"/>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L+725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700" w:type="dxa"/>
            <w:vAlign w:val="bottom"/>
          </w:tcPr>
          <w:p>
            <w:pPr>
              <w:jc w:val="right"/>
              <w:spacing w:after="0"/>
              <w:rPr>
                <w:sz w:val="20"/>
                <w:szCs w:val="20"/>
                <w:color w:val="auto"/>
              </w:rPr>
            </w:pPr>
            <w:r>
              <w:rPr>
                <w:rFonts w:ascii="Arial" w:cs="Arial" w:eastAsia="Arial" w:hAnsi="Arial"/>
                <w:sz w:val="18"/>
                <w:szCs w:val="18"/>
                <w:color w:val="auto"/>
              </w:rPr>
              <w:t>9.70%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6/28/2019</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1/1/2024</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16,400</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16,748</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16,769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Cerapedics, Inc.</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Health Care Equipment &amp; Supplies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L+695</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3/22/2019</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3/1/2025</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26,861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27,613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tcPr>
          <w:p>
            <w:pPr>
              <w:spacing w:after="0" w:line="201" w:lineRule="exact"/>
              <w:rPr>
                <w:sz w:val="20"/>
                <w:szCs w:val="20"/>
                <w:color w:val="auto"/>
              </w:rPr>
            </w:pPr>
            <w:r>
              <w:rPr>
                <w:rFonts w:ascii="Arial" w:cs="Arial" w:eastAsia="Arial" w:hAnsi="Arial"/>
                <w:sz w:val="18"/>
                <w:szCs w:val="18"/>
                <w:color w:val="auto"/>
              </w:rPr>
              <w:t>Delphinus Medical</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w w:val="95"/>
              </w:rPr>
              <w:t>Technologies, Inc.</w:t>
            </w:r>
          </w:p>
        </w:tc>
        <w:tc>
          <w:tcPr>
            <w:tcW w:w="2900" w:type="dxa"/>
            <w:vAlign w:val="bottom"/>
          </w:tcPr>
          <w:p>
            <w:pPr>
              <w:ind w:left="60"/>
              <w:spacing w:after="0"/>
              <w:rPr>
                <w:sz w:val="20"/>
                <w:szCs w:val="20"/>
                <w:color w:val="auto"/>
              </w:rPr>
            </w:pPr>
            <w:r>
              <w:rPr>
                <w:rFonts w:ascii="Arial" w:cs="Arial" w:eastAsia="Arial" w:hAnsi="Arial"/>
                <w:sz w:val="18"/>
                <w:szCs w:val="18"/>
                <w:color w:val="auto"/>
              </w:rPr>
              <w:t>Health Care Equipment &amp; Supplies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L+850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color w:val="auto"/>
              </w:rPr>
              <w:t>9.50%</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8/18/2017</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6/1/2022</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Glooko, Inc.</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Health Care Technology</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L+790</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9/30/2021</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10/1/2026</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8"/>
                <w:szCs w:val="18"/>
                <w:color w:val="auto"/>
              </w:rPr>
              <w:t>Neuronetics, Inc.</w:t>
            </w:r>
          </w:p>
        </w:tc>
        <w:tc>
          <w:tcPr>
            <w:tcW w:w="2900" w:type="dxa"/>
            <w:vAlign w:val="bottom"/>
          </w:tcPr>
          <w:p>
            <w:pPr>
              <w:ind w:left="60"/>
              <w:spacing w:after="0"/>
              <w:rPr>
                <w:sz w:val="20"/>
                <w:szCs w:val="20"/>
                <w:color w:val="auto"/>
              </w:rPr>
            </w:pPr>
            <w:r>
              <w:rPr>
                <w:rFonts w:ascii="Arial" w:cs="Arial" w:eastAsia="Arial" w:hAnsi="Arial"/>
                <w:sz w:val="18"/>
                <w:szCs w:val="18"/>
                <w:color w:val="auto"/>
              </w:rPr>
              <w:t>Health Care Equipment &amp; Supplies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L+765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700" w:type="dxa"/>
            <w:vAlign w:val="bottom"/>
          </w:tcPr>
          <w:p>
            <w:pPr>
              <w:jc w:val="right"/>
              <w:spacing w:after="0"/>
              <w:rPr>
                <w:sz w:val="20"/>
                <w:szCs w:val="20"/>
                <w:color w:val="auto"/>
              </w:rPr>
            </w:pPr>
            <w:r>
              <w:rPr>
                <w:rFonts w:ascii="Arial" w:cs="Arial" w:eastAsia="Arial" w:hAnsi="Arial"/>
                <w:sz w:val="18"/>
                <w:szCs w:val="18"/>
                <w:color w:val="auto"/>
              </w:rPr>
              <w:t>9.31%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3/2/2020</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9"/>
              </w:rPr>
              <w:t>2/28/2025</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15,613</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15,920</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15,925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OmniGuide</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5"/>
              </w:rPr>
              <w:t>Holdings, Inc. (13)</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Health Care Equipment &amp; Supplies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L+1405</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7/30/2018</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7/1/2023</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18,879</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18,027</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8"/>
                <w:szCs w:val="18"/>
                <w:color w:val="auto"/>
              </w:rPr>
              <w:t>Rezolute, Inc</w:t>
            </w:r>
          </w:p>
        </w:tc>
        <w:tc>
          <w:tcPr>
            <w:tcW w:w="2900" w:type="dxa"/>
            <w:vAlign w:val="bottom"/>
          </w:tcPr>
          <w:p>
            <w:pPr>
              <w:ind w:left="60"/>
              <w:spacing w:after="0"/>
              <w:rPr>
                <w:sz w:val="20"/>
                <w:szCs w:val="20"/>
                <w:color w:val="auto"/>
              </w:rPr>
            </w:pPr>
            <w:r>
              <w:rPr>
                <w:rFonts w:ascii="Arial" w:cs="Arial" w:eastAsia="Arial" w:hAnsi="Arial"/>
                <w:sz w:val="18"/>
                <w:szCs w:val="18"/>
                <w:color w:val="auto"/>
              </w:rPr>
              <w:t>Biotechnology</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L+875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700" w:type="dxa"/>
            <w:vAlign w:val="bottom"/>
          </w:tcPr>
          <w:p>
            <w:pPr>
              <w:jc w:val="right"/>
              <w:spacing w:after="0"/>
              <w:rPr>
                <w:sz w:val="20"/>
                <w:szCs w:val="20"/>
                <w:color w:val="auto"/>
              </w:rPr>
            </w:pPr>
            <w:r>
              <w:rPr>
                <w:rFonts w:ascii="Arial" w:cs="Arial" w:eastAsia="Arial" w:hAnsi="Arial"/>
                <w:sz w:val="18"/>
                <w:szCs w:val="18"/>
                <w:color w:val="auto"/>
              </w:rPr>
              <w:t>8.98%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4/14/2021</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4/1/2026</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5,679</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1"/>
              </w:rPr>
              <w:t>Rubius Therapeutics,</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Inc. (3)</w:t>
            </w: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L+550</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12/21/2018</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6/1/2026</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40,291</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41,214</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41,198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tcPr>
          <w:p>
            <w:pPr>
              <w:spacing w:after="0" w:line="201" w:lineRule="exact"/>
              <w:rPr>
                <w:sz w:val="20"/>
                <w:szCs w:val="20"/>
                <w:color w:val="auto"/>
              </w:rPr>
            </w:pPr>
            <w:r>
              <w:rPr>
                <w:rFonts w:ascii="Arial" w:cs="Arial" w:eastAsia="Arial" w:hAnsi="Arial"/>
                <w:sz w:val="18"/>
                <w:szCs w:val="18"/>
                <w:color w:val="auto"/>
                <w:w w:val="99"/>
              </w:rPr>
              <w:t>scPharmaceuticals,</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auto"/>
              </w:rPr>
              <w:t>Inc.</w:t>
            </w:r>
          </w:p>
        </w:tc>
        <w:tc>
          <w:tcPr>
            <w:tcW w:w="2900" w:type="dxa"/>
            <w:vAlign w:val="bottom"/>
          </w:tcPr>
          <w:p>
            <w:pPr>
              <w:ind w:left="60"/>
              <w:spacing w:after="0"/>
              <w:rPr>
                <w:sz w:val="20"/>
                <w:szCs w:val="20"/>
                <w:color w:val="auto"/>
              </w:rPr>
            </w:pPr>
            <w:r>
              <w:rPr>
                <w:rFonts w:ascii="Arial" w:cs="Arial" w:eastAsia="Arial" w:hAnsi="Arial"/>
                <w:sz w:val="18"/>
                <w:szCs w:val="18"/>
                <w:color w:val="auto"/>
              </w:rPr>
              <w:t>Pharmaceuticals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L+795</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700" w:type="dxa"/>
            <w:vAlign w:val="bottom"/>
          </w:tcPr>
          <w:p>
            <w:pPr>
              <w:jc w:val="right"/>
              <w:spacing w:after="0"/>
              <w:rPr>
                <w:sz w:val="20"/>
                <w:szCs w:val="20"/>
                <w:color w:val="auto"/>
              </w:rPr>
            </w:pPr>
            <w:r>
              <w:rPr>
                <w:rFonts w:ascii="Arial" w:cs="Arial" w:eastAsia="Arial" w:hAnsi="Arial"/>
                <w:sz w:val="18"/>
                <w:szCs w:val="18"/>
                <w:color w:val="auto"/>
              </w:rPr>
              <w:t>10.18%</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9/17/2019</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89"/>
              </w:rPr>
              <w:t>9/17/2023</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3,587</w:t>
            </w: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rPr>
              <w:t>SOC Telemed, Inc.</w:t>
            </w:r>
          </w:p>
        </w:tc>
        <w:tc>
          <w:tcPr>
            <w:tcW w:w="29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Health Care Providers &amp; Services</w:t>
            </w:r>
          </w:p>
        </w:tc>
        <w:tc>
          <w:tcPr>
            <w:tcW w:w="9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L+747</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3/26/2021</w:t>
            </w:r>
          </w:p>
        </w:tc>
        <w:tc>
          <w:tcPr>
            <w:tcW w:w="11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4/1/2026</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31,137</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31,296</w:t>
            </w: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80" w:type="dxa"/>
            <w:vAlign w:val="bottom"/>
            <w:gridSpan w:val="8"/>
          </w:tcPr>
          <w:p>
            <w:pPr>
              <w:spacing w:after="0"/>
              <w:rPr>
                <w:sz w:val="20"/>
                <w:szCs w:val="20"/>
                <w:color w:val="auto"/>
              </w:rPr>
            </w:pPr>
            <w:r>
              <w:rPr>
                <w:rFonts w:ascii="Arial" w:cs="Arial" w:eastAsia="Arial" w:hAnsi="Arial"/>
                <w:sz w:val="18"/>
                <w:szCs w:val="18"/>
                <w:color w:val="auto"/>
              </w:rPr>
              <w:t>Vapotherm, Inc.(3)</w:t>
            </w:r>
          </w:p>
        </w:tc>
        <w:tc>
          <w:tcPr>
            <w:tcW w:w="2900" w:type="dxa"/>
            <w:vAlign w:val="bottom"/>
          </w:tcPr>
          <w:p>
            <w:pPr>
              <w:ind w:left="60"/>
              <w:spacing w:after="0"/>
              <w:rPr>
                <w:sz w:val="20"/>
                <w:szCs w:val="20"/>
                <w:color w:val="auto"/>
              </w:rPr>
            </w:pPr>
            <w:r>
              <w:rPr>
                <w:rFonts w:ascii="Arial" w:cs="Arial" w:eastAsia="Arial" w:hAnsi="Arial"/>
                <w:sz w:val="18"/>
                <w:szCs w:val="18"/>
                <w:color w:val="auto"/>
              </w:rPr>
              <w:t>Health Care Equipment &amp; Supplies</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L+830</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2/18/2022</w:t>
            </w:r>
          </w:p>
        </w:tc>
        <w:tc>
          <w:tcPr>
            <w:tcW w:w="1140" w:type="dxa"/>
            <w:vAlign w:val="bottom"/>
          </w:tcPr>
          <w:p>
            <w:pPr>
              <w:jc w:val="center"/>
              <w:ind w:right="130"/>
              <w:spacing w:after="0"/>
              <w:rPr>
                <w:sz w:val="20"/>
                <w:szCs w:val="20"/>
                <w:color w:val="auto"/>
              </w:rPr>
            </w:pPr>
            <w:r>
              <w:rPr>
                <w:rFonts w:ascii="Arial" w:cs="Arial" w:eastAsia="Arial" w:hAnsi="Arial"/>
                <w:sz w:val="18"/>
                <w:szCs w:val="18"/>
                <w:color w:val="auto"/>
                <w:w w:val="91"/>
              </w:rPr>
              <w:t>2/1/2027</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28,531</w:t>
            </w: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28,152</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40" w:type="dxa"/>
            <w:vAlign w:val="bottom"/>
            <w:gridSpan w:val="7"/>
            <w:shd w:val="clear" w:color="auto" w:fill="CCEEFF"/>
          </w:tcPr>
          <w:p>
            <w:pPr>
              <w:jc w:val="right"/>
              <w:ind w:right="570"/>
              <w:spacing w:after="0"/>
              <w:rPr>
                <w:sz w:val="20"/>
                <w:szCs w:val="20"/>
                <w:color w:val="auto"/>
              </w:rPr>
            </w:pPr>
            <w:r>
              <w:rPr>
                <w:rFonts w:ascii="Arial" w:cs="Arial" w:eastAsia="Arial" w:hAnsi="Arial"/>
                <w:sz w:val="18"/>
                <w:szCs w:val="18"/>
                <w:color w:val="auto"/>
                <w:w w:val="90"/>
              </w:rPr>
              <w:t>Total First Lien Life Science Senior Secured Loans</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291,196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296,117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20" w:type="dxa"/>
            <w:vAlign w:val="bottom"/>
            <w:gridSpan w:val="8"/>
          </w:tcPr>
          <w:p>
            <w:pPr>
              <w:ind w:left="740"/>
              <w:spacing w:after="0"/>
              <w:rPr>
                <w:sz w:val="20"/>
                <w:szCs w:val="20"/>
                <w:color w:val="auto"/>
              </w:rPr>
            </w:pPr>
            <w:r>
              <w:rPr>
                <w:rFonts w:ascii="Arial" w:cs="Arial" w:eastAsia="Arial" w:hAnsi="Arial"/>
                <w:sz w:val="18"/>
                <w:szCs w:val="18"/>
                <w:b w:val="1"/>
                <w:bCs w:val="1"/>
                <w:color w:val="auto"/>
              </w:rPr>
              <w:t>Total Senior Secured Loans</w:t>
            </w: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942,073</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906,993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120" w:type="dxa"/>
            <w:vAlign w:val="bottom"/>
            <w:gridSpan w:val="5"/>
          </w:tcPr>
          <w:p>
            <w:pPr>
              <w:ind w:left="2220"/>
              <w:spacing w:after="0"/>
              <w:rPr>
                <w:sz w:val="20"/>
                <w:szCs w:val="20"/>
                <w:color w:val="auto"/>
              </w:rPr>
            </w:pPr>
            <w:r>
              <w:rPr>
                <w:rFonts w:ascii="Arial" w:cs="Arial" w:eastAsia="Arial" w:hAnsi="Arial"/>
                <w:sz w:val="18"/>
                <w:szCs w:val="18"/>
                <w:color w:val="auto"/>
              </w:rPr>
              <w:t>See notes to consolidated financial statements.</w:t>
            </w: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7</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460" w:top="140"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250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Industry</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Acquisition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7"/>
        </w:trPr>
        <w:tc>
          <w:tcPr>
            <w:tcW w:w="2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gridSpan w:val="2"/>
            <w:vMerge w:val="continue"/>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3"/>
              </w:rPr>
              <w:t>Rate</w:t>
            </w:r>
            <w:r>
              <w:rPr>
                <w:rFonts w:ascii="Arial" w:cs="Arial" w:eastAsia="Arial" w:hAnsi="Arial"/>
                <w:sz w:val="12"/>
                <w:szCs w:val="12"/>
                <w:b w:val="1"/>
                <w:bCs w:val="1"/>
                <w:color w:val="auto"/>
                <w:w w:val="93"/>
              </w:rPr>
              <w:t>(1)</w:t>
            </w: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2"/>
              </w:rPr>
              <w:t>Date</w:t>
            </w:r>
          </w:p>
        </w:tc>
        <w:tc>
          <w:tcPr>
            <w:tcW w:w="13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40"/>
              <w:spacing w:after="0" w:line="15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440" w:type="dxa"/>
            <w:vAlign w:val="bottom"/>
            <w:gridSpan w:val="2"/>
            <w:shd w:val="clear" w:color="auto" w:fill="CCEEFF"/>
          </w:tcPr>
          <w:p>
            <w:pPr>
              <w:spacing w:after="0" w:line="121" w:lineRule="exact"/>
              <w:rPr>
                <w:sz w:val="20"/>
                <w:szCs w:val="20"/>
                <w:color w:val="auto"/>
              </w:rPr>
            </w:pPr>
            <w:r>
              <w:rPr>
                <w:rFonts w:ascii="Arial" w:cs="Arial" w:eastAsia="Arial" w:hAnsi="Arial"/>
                <w:sz w:val="14"/>
                <w:szCs w:val="14"/>
                <w:color w:val="auto"/>
              </w:rPr>
              <w:t>Equipment Financing — 31.5%</w:t>
            </w:r>
          </w:p>
        </w:tc>
        <w:tc>
          <w:tcPr>
            <w:tcW w:w="100" w:type="dxa"/>
            <w:vAlign w:val="bottom"/>
            <w:shd w:val="clear" w:color="auto" w:fill="CCEEFF"/>
          </w:tcPr>
          <w:p>
            <w:pPr>
              <w:spacing w:after="0"/>
              <w:rPr>
                <w:sz w:val="10"/>
                <w:szCs w:val="10"/>
                <w:color w:val="auto"/>
              </w:rPr>
            </w:pPr>
          </w:p>
        </w:tc>
        <w:tc>
          <w:tcPr>
            <w:tcW w:w="2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Aero Operating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8.47-9.64%</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2/12/2021</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3/1/2025-12/1/2026</w:t>
            </w:r>
          </w:p>
        </w:tc>
        <w:tc>
          <w:tcPr>
            <w:tcW w:w="460" w:type="dxa"/>
            <w:vAlign w:val="bottom"/>
            <w:gridSpan w:val="2"/>
          </w:tcPr>
          <w:p>
            <w:pPr>
              <w:ind w:lef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2,988</w:t>
            </w:r>
          </w:p>
        </w:tc>
        <w:tc>
          <w:tcPr>
            <w:tcW w:w="2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2,985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Air Methods Corporation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Airlines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7.08-7.13%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11/3/2021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11/3/2026-11/23/2026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3,950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4,027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3,950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AmeraMex International,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3/29/2019</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4/28/2022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2,250</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Blackhawk Mining,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Oil, Gas &amp; Consumable Fuels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11.17%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2/16/2018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11/1/2022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860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873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Boart Longyear Company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Metals &amp; Mining</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3"/>
              </w:rPr>
              <w:t>9.06-10.44%</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5/28/2020</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4"/>
              </w:rPr>
              <w:t>7/1/2024-1/1/2026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5,026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5,026</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5,026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Capital City Jet Center,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Airlines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4/4/2018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10/4/2023-6/22/26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2,895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2,895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Champion Air,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Airlines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3/19/2018</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1/1/2023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1,533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1,533</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Clubcorp Holdings,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Hotels, Restaurants &amp; Leisure</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8.87-10.11%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5/27/2021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6/1/2025-4/1/2027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985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985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985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w w:val="97"/>
              </w:rPr>
              <w:t>Dongwon Autopart Technology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Auto Components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7.96%</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2/2/2021</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1/1/2026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2,221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2,252</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EasyPak,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Containers &amp; Packaging</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9.01%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1/6/2021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1/1/2024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534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534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tcPr>
          <w:p>
            <w:pPr>
              <w:spacing w:after="0" w:line="129" w:lineRule="exact"/>
              <w:rPr>
                <w:sz w:val="20"/>
                <w:szCs w:val="20"/>
                <w:color w:val="auto"/>
              </w:rPr>
            </w:pPr>
            <w:r>
              <w:rPr>
                <w:rFonts w:ascii="Arial" w:cs="Arial" w:eastAsia="Arial" w:hAnsi="Arial"/>
                <w:sz w:val="14"/>
                <w:szCs w:val="14"/>
                <w:color w:val="auto"/>
              </w:rPr>
              <w:t>Environmental Protection &amp;</w:t>
            </w: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Arial" w:cs="Arial" w:eastAsia="Arial" w:hAnsi="Arial"/>
                <w:sz w:val="14"/>
                <w:szCs w:val="14"/>
                <w:color w:val="auto"/>
              </w:rPr>
              <w:t>Improvement Company, LLC (10)</w:t>
            </w:r>
          </w:p>
        </w:tc>
        <w:tc>
          <w:tcPr>
            <w:tcW w:w="2600" w:type="dxa"/>
            <w:vAlign w:val="bottom"/>
            <w:gridSpan w:val="3"/>
          </w:tcPr>
          <w:p>
            <w:pPr>
              <w:ind w:left="100"/>
              <w:spacing w:after="0"/>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8.25%</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9/30/2020</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10/1/2027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5,763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5,799</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Equipment Operating Leases, LLC (2)</w:t>
            </w:r>
          </w:p>
        </w:tc>
        <w:tc>
          <w:tcPr>
            <w:tcW w:w="1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(12)</w:t>
            </w:r>
          </w:p>
        </w:tc>
        <w:tc>
          <w:tcPr>
            <w:tcW w:w="174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7.53-8.37%</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4/27/2018</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8/1/2022-4/27/2025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11,874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11,874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tcPr>
          <w:p>
            <w:pPr>
              <w:spacing w:after="0" w:line="129" w:lineRule="exact"/>
              <w:rPr>
                <w:sz w:val="20"/>
                <w:szCs w:val="20"/>
                <w:color w:val="auto"/>
              </w:rPr>
            </w:pPr>
            <w:r>
              <w:rPr>
                <w:rFonts w:ascii="Arial" w:cs="Arial" w:eastAsia="Arial" w:hAnsi="Arial"/>
                <w:sz w:val="14"/>
                <w:szCs w:val="14"/>
                <w:color w:val="auto"/>
              </w:rPr>
              <w:t>First American Commercial Bancorp,</w:t>
            </w: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Arial" w:cs="Arial" w:eastAsia="Arial" w:hAnsi="Arial"/>
                <w:sz w:val="14"/>
                <w:szCs w:val="14"/>
                <w:color w:val="auto"/>
              </w:rPr>
              <w:t>Inc. (10)</w:t>
            </w:r>
          </w:p>
        </w:tc>
        <w:tc>
          <w:tcPr>
            <w:tcW w:w="2600" w:type="dxa"/>
            <w:vAlign w:val="bottom"/>
            <w:gridSpan w:val="3"/>
          </w:tcPr>
          <w:p>
            <w:pPr>
              <w:ind w:left="100"/>
              <w:spacing w:after="0"/>
              <w:rPr>
                <w:sz w:val="20"/>
                <w:szCs w:val="20"/>
                <w:color w:val="auto"/>
              </w:rPr>
            </w:pPr>
            <w:r>
              <w:rPr>
                <w:rFonts w:ascii="Arial" w:cs="Arial" w:eastAsia="Arial" w:hAnsi="Arial"/>
                <w:sz w:val="14"/>
                <w:szCs w:val="14"/>
                <w:color w:val="auto"/>
              </w:rPr>
              <w:t>Diversified Financial Services</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7.50-9.02%</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10/28/2021</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11/1/2026-4/1/2027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3,404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3,408</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3,404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First National Capital,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Diversified Financial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11/5/2021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8/1/2026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8,347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8,347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8,347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Freightsol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1"/>
              </w:rPr>
              <w:t>12.51-12.89%</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4/9/2019</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89"/>
              </w:rPr>
              <w:t>11/1/2023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1,225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1,238</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Garda CL Technical Services,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8.30-8.77%</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3/22/2018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6/5/2023-10/5/2023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1,057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Georgia Jet,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Airlines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8.00%</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12/4/2017</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1/4/2024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735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735</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735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GMT Corporation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Machinery</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10.71%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10/23/2018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10/1/2025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5,257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5,264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5,257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Haljoe Coaches USA,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8.53%</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7/31/2017</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7/1/2024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1,039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1,039</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896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Hawkeye Contracting Company, LLC</w:t>
            </w:r>
          </w:p>
        </w:tc>
        <w:tc>
          <w:tcPr>
            <w:tcW w:w="1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w:t>
            </w:r>
          </w:p>
        </w:tc>
        <w:tc>
          <w:tcPr>
            <w:tcW w:w="174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Construction &amp; Engineering</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10.50%</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10/8/2021</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11/1/2025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1,208</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HTI Logistics Corporation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9.69-9.94%</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1"/>
              </w:rPr>
              <w:t>11/15/2018</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4"/>
              </w:rPr>
              <w:t>5/1/2024-9/1/2025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384</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375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International Automotive Components</w:t>
            </w:r>
          </w:p>
        </w:tc>
        <w:tc>
          <w:tcPr>
            <w:tcW w:w="10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Group, North America, Inc. (10)</w:t>
            </w: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Auto Components</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7.95%</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6/23/2021</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6/23/2025</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7,671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Kool Pak,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8.58%</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2/5/2018</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3/1/2024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309</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309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Loyer Capital LLC (2)(12)</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8.73-11.52%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5/16/2019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5/16/24-9/25/24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10,725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Lux Credit Consultants,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8.28-9.65%</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6/17/2021</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12/1/2024-4/1/2026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11,235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11,235</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11,235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Lux Vending,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Consumer Finance</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12.46-13.26%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8/20/2021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8/20/2024-10/1/2024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2,314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2,363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2,314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Mountain Air Helicopters,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7/31/2017</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2/28/2025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453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450</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453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Rane Light Metal Castings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Machinery</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6/1/2020</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7/1/2024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231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Rango,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9.33-9.79%</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9/24/2019</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2"/>
              </w:rPr>
              <w:t>4/1/2023-11/1/2024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3,211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3,246</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3,151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Rossco Crane &amp; Rigging,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11.53%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8/25/2017</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9/1/2022</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Royal Coach Lines, Inc.(10)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9.56%</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1"/>
              </w:rPr>
              <w:t>11/21/2019</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8/1/2025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981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981</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895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Royal Express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9.53%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1/17/2019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2/1/2024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627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Sidelines Tree Service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Diversified Consumer Services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10.25%</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7/31/2017</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10/1/2022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SLR Equipment Finance(2)</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8.50%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1/24/2022</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1/24/2023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ST Coaches,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8.22-8.58%</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7/31/2017</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2"/>
              </w:rPr>
              <w:t>10/1/2022-1/25/2025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1,902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1,902</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Stafford Logistics,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12.62%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89"/>
              </w:rPr>
              <w:t>9/11/2019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2/15/2026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6,917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6,917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6,917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Star Coaches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8.42%</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3/9/2018</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4/1/2025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3,276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3,276</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2,940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Superior Transportation,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10.22-10.63%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7/31/2017</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1/1/2026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4,305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4,305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4,305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gridSpan w:val="2"/>
          </w:tcPr>
          <w:p>
            <w:pPr>
              <w:spacing w:after="0" w:line="129" w:lineRule="exact"/>
              <w:rPr>
                <w:sz w:val="20"/>
                <w:szCs w:val="20"/>
                <w:color w:val="auto"/>
              </w:rPr>
            </w:pPr>
            <w:r>
              <w:rPr>
                <w:rFonts w:ascii="Arial" w:cs="Arial" w:eastAsia="Arial" w:hAnsi="Arial"/>
                <w:sz w:val="14"/>
                <w:szCs w:val="14"/>
                <w:color w:val="auto"/>
              </w:rPr>
              <w:t>The Smedley Company &amp; Smedley</w:t>
            </w: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Arial" w:cs="Arial" w:eastAsia="Arial" w:hAnsi="Arial"/>
                <w:sz w:val="14"/>
                <w:szCs w:val="14"/>
                <w:color w:val="auto"/>
              </w:rPr>
              <w:t>Services, Inc. (10)..</w:t>
            </w:r>
          </w:p>
        </w:tc>
        <w:tc>
          <w:tcPr>
            <w:tcW w:w="2600" w:type="dxa"/>
            <w:vAlign w:val="bottom"/>
            <w:gridSpan w:val="3"/>
          </w:tcPr>
          <w:p>
            <w:pPr>
              <w:ind w:left="100"/>
              <w:spacing w:after="0"/>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4.07%</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1/1/2028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2,919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2,919</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2,919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Trinity Equipment Rentals, Inc.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7.94-8.75%</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10/8/2021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11/1/2024-12/1/2026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726</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Trolleys, Inc.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9.99%</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3"/>
              </w:rPr>
              <w:t>7/18/2018</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5"/>
              </w:rPr>
              <w:t>8/1/2022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1,361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1,361</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1,334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Up Trucking Services,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11.21%</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3/23/2018</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5"/>
              </w:rPr>
              <w:t>8/1/2024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640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648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Warrior Crane Services, LLC (10)</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8.95%</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89"/>
              </w:rPr>
              <w:t>7/11/2019</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4"/>
              </w:rPr>
              <w:t>8/1/2024-8/1/2026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2,429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2,429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Wind River Environmental, LLC (10)</w:t>
            </w:r>
          </w:p>
        </w:tc>
        <w:tc>
          <w:tcPr>
            <w:tcW w:w="2600" w:type="dxa"/>
            <w:vAlign w:val="bottom"/>
            <w:gridSpan w:val="3"/>
            <w:shd w:val="clear" w:color="auto" w:fill="CCEEFF"/>
          </w:tcPr>
          <w:p>
            <w:pPr>
              <w:ind w:left="100"/>
              <w:spacing w:after="0" w:line="148" w:lineRule="exact"/>
              <w:rPr>
                <w:sz w:val="20"/>
                <w:szCs w:val="20"/>
                <w:color w:val="auto"/>
              </w:rPr>
            </w:pPr>
            <w:r>
              <w:rPr>
                <w:rFonts w:ascii="Arial" w:cs="Arial" w:eastAsia="Arial" w:hAnsi="Arial"/>
                <w:sz w:val="14"/>
                <w:szCs w:val="14"/>
                <w:color w:val="auto"/>
              </w:rPr>
              <w:t>Diversified Consumer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8.43-10.00%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7/31/2019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8/1/2024-10/5/25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809</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gridSpan w:val="2"/>
          </w:tcPr>
          <w:p>
            <w:pPr>
              <w:spacing w:after="0"/>
              <w:rPr>
                <w:sz w:val="20"/>
                <w:szCs w:val="20"/>
                <w:color w:val="auto"/>
              </w:rPr>
            </w:pPr>
            <w:r>
              <w:rPr>
                <w:rFonts w:ascii="Arial" w:cs="Arial" w:eastAsia="Arial" w:hAnsi="Arial"/>
                <w:sz w:val="14"/>
                <w:szCs w:val="14"/>
                <w:color w:val="auto"/>
              </w:rPr>
              <w:t>Womble Company, Inc. (10)</w:t>
            </w:r>
          </w:p>
        </w:tc>
        <w:tc>
          <w:tcPr>
            <w:tcW w:w="2600" w:type="dxa"/>
            <w:vAlign w:val="bottom"/>
            <w:gridSpan w:val="3"/>
          </w:tcPr>
          <w:p>
            <w:pPr>
              <w:ind w:left="100"/>
              <w:spacing w:after="0"/>
              <w:rPr>
                <w:sz w:val="20"/>
                <w:szCs w:val="20"/>
                <w:color w:val="auto"/>
              </w:rPr>
            </w:pPr>
            <w:r>
              <w:rPr>
                <w:rFonts w:ascii="Arial" w:cs="Arial" w:eastAsia="Arial" w:hAnsi="Arial"/>
                <w:sz w:val="14"/>
                <w:szCs w:val="14"/>
                <w:color w:val="auto"/>
              </w:rPr>
              <w:t>Energy Equipment &amp; Services</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9.11%</w:t>
            </w:r>
          </w:p>
        </w:tc>
        <w:tc>
          <w:tcPr>
            <w:tcW w:w="2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1"/>
              </w:rPr>
              <w:t>12/27/2019</w:t>
            </w: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5"/>
              </w:rPr>
              <w:t>1/1/2025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508</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Shares/Units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SLR Equipment Finance Equity Interests</w:t>
            </w:r>
          </w:p>
        </w:tc>
        <w:tc>
          <w:tcPr>
            <w:tcW w:w="100" w:type="dxa"/>
            <w:vAlign w:val="bottom"/>
            <w:tcBorders>
              <w:top w:val="single" w:sz="8" w:color="CCEEFF"/>
            </w:tcBorders>
            <w:shd w:val="clear" w:color="auto" w:fill="CCEEFF"/>
          </w:tcPr>
          <w:p>
            <w:pPr>
              <w:spacing w:after="0"/>
              <w:rPr>
                <w:sz w:val="9"/>
                <w:szCs w:val="9"/>
                <w:color w:val="auto"/>
              </w:rPr>
            </w:pPr>
          </w:p>
        </w:tc>
        <w:tc>
          <w:tcPr>
            <w:tcW w:w="2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3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(2)(9)*</w:t>
            </w:r>
          </w:p>
        </w:tc>
        <w:tc>
          <w:tcPr>
            <w:tcW w:w="1740" w:type="dxa"/>
            <w:vAlign w:val="bottom"/>
            <w:shd w:val="clear" w:color="auto" w:fill="CCEEFF"/>
          </w:tcPr>
          <w:p>
            <w:pPr>
              <w:spacing w:after="0"/>
              <w:rPr>
                <w:sz w:val="14"/>
                <w:szCs w:val="14"/>
                <w:color w:val="auto"/>
              </w:rPr>
            </w:pPr>
          </w:p>
        </w:tc>
        <w:tc>
          <w:tcPr>
            <w:tcW w:w="260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7/31/2017</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86"/>
              </w:rPr>
              <w:t>145,000</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86"/>
              </w:rPr>
              <w:t>129,102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Total Equipment Financing</w:t>
            </w: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277,789</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260,186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Preferred Equity – 0.5%</w:t>
            </w:r>
          </w:p>
        </w:tc>
        <w:tc>
          <w:tcPr>
            <w:tcW w:w="1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tcPr>
          <w:p>
            <w:pPr>
              <w:spacing w:after="0" w:line="148" w:lineRule="exact"/>
              <w:rPr>
                <w:sz w:val="20"/>
                <w:szCs w:val="20"/>
                <w:color w:val="auto"/>
              </w:rPr>
            </w:pPr>
            <w:r>
              <w:rPr>
                <w:rFonts w:ascii="Arial" w:cs="Arial" w:eastAsia="Arial" w:hAnsi="Arial"/>
                <w:sz w:val="14"/>
                <w:szCs w:val="14"/>
                <w:color w:val="auto"/>
              </w:rPr>
              <w:t>SOINT, LLC (2)(3)(4)</w:t>
            </w:r>
          </w:p>
        </w:tc>
        <w:tc>
          <w:tcPr>
            <w:tcW w:w="2600" w:type="dxa"/>
            <w:vAlign w:val="bottom"/>
            <w:gridSpan w:val="3"/>
          </w:tcPr>
          <w:p>
            <w:pPr>
              <w:ind w:left="100"/>
              <w:spacing w:after="0" w:line="148" w:lineRule="exact"/>
              <w:rPr>
                <w:sz w:val="20"/>
                <w:szCs w:val="20"/>
                <w:color w:val="auto"/>
              </w:rPr>
            </w:pPr>
            <w:r>
              <w:rPr>
                <w:rFonts w:ascii="Arial" w:cs="Arial" w:eastAsia="Arial" w:hAnsi="Arial"/>
                <w:sz w:val="14"/>
                <w:szCs w:val="14"/>
                <w:color w:val="auto"/>
              </w:rPr>
              <w:t>Aerospace &amp; Defense</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1"/>
              </w:rPr>
              <w:t>5.00%</w:t>
            </w:r>
            <w:r>
              <w:rPr>
                <w:rFonts w:ascii="Arial" w:cs="Arial" w:eastAsia="Arial" w:hAnsi="Arial"/>
                <w:sz w:val="12"/>
                <w:szCs w:val="12"/>
                <w:color w:val="auto"/>
                <w:w w:val="91"/>
              </w:rPr>
              <w:t>(11)</w:t>
            </w:r>
          </w:p>
        </w:tc>
        <w:tc>
          <w:tcPr>
            <w:tcW w:w="220" w:type="dxa"/>
            <w:vAlign w:val="bottom"/>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4"/>
                <w:szCs w:val="14"/>
                <w:color w:val="auto"/>
                <w:w w:val="95"/>
              </w:rPr>
              <w:t>6/8/2012</w:t>
            </w:r>
          </w:p>
        </w:tc>
        <w:tc>
          <w:tcPr>
            <w:tcW w:w="180" w:type="dxa"/>
            <w:vAlign w:val="bottom"/>
          </w:tcPr>
          <w:p>
            <w:pPr>
              <w:spacing w:after="0"/>
              <w:rPr>
                <w:sz w:val="12"/>
                <w:szCs w:val="12"/>
                <w:color w:val="auto"/>
              </w:rPr>
            </w:pPr>
          </w:p>
        </w:tc>
        <w:tc>
          <w:tcPr>
            <w:tcW w:w="1320" w:type="dxa"/>
            <w:vAlign w:val="bottom"/>
          </w:tcPr>
          <w:p>
            <w:pPr>
              <w:jc w:val="center"/>
              <w:spacing w:after="0" w:line="148" w:lineRule="exact"/>
              <w:rPr>
                <w:sz w:val="20"/>
                <w:szCs w:val="20"/>
                <w:color w:val="auto"/>
              </w:rPr>
            </w:pPr>
            <w:r>
              <w:rPr>
                <w:rFonts w:ascii="Arial" w:cs="Arial" w:eastAsia="Arial" w:hAnsi="Arial"/>
                <w:sz w:val="14"/>
                <w:szCs w:val="14"/>
                <w:color w:val="auto"/>
                <w:w w:val="93"/>
              </w:rPr>
              <w:t>6/30/2023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54,733</w:t>
            </w:r>
          </w:p>
        </w:tc>
        <w:tc>
          <w:tcPr>
            <w:tcW w:w="2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5,473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shd w:val="clear" w:color="auto" w:fill="CCEEFF"/>
          </w:tcPr>
          <w:p>
            <w:pPr>
              <w:ind w:left="260"/>
              <w:spacing w:after="0" w:line="148" w:lineRule="exact"/>
              <w:rPr>
                <w:sz w:val="20"/>
                <w:szCs w:val="20"/>
                <w:color w:val="auto"/>
              </w:rPr>
            </w:pPr>
            <w:r>
              <w:rPr>
                <w:rFonts w:ascii="Arial" w:cs="Arial" w:eastAsia="Arial" w:hAnsi="Arial"/>
                <w:sz w:val="14"/>
                <w:szCs w:val="14"/>
                <w:b w:val="1"/>
                <w:bCs w:val="1"/>
                <w:color w:val="auto"/>
              </w:rPr>
              <w:t>Total Preferred Equity</w:t>
            </w:r>
          </w:p>
        </w:tc>
        <w:tc>
          <w:tcPr>
            <w:tcW w:w="10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b w:val="1"/>
                <w:bCs w:val="1"/>
                <w:color w:val="auto"/>
              </w:rPr>
              <w:t>5,473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b w:val="1"/>
                <w:bCs w:val="1"/>
                <w:color w:val="auto"/>
              </w:rPr>
              <w:t>4,405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8"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Industry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Acquisition</w:t>
            </w:r>
          </w:p>
        </w:tc>
        <w:tc>
          <w:tcPr>
            <w:tcW w:w="9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Shares/Units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7"/>
        </w:trPr>
        <w:tc>
          <w:tcPr>
            <w:tcW w:w="4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ind w:left="120"/>
              <w:spacing w:after="0" w:line="157" w:lineRule="exact"/>
              <w:rPr>
                <w:sz w:val="20"/>
                <w:szCs w:val="20"/>
                <w:color w:val="auto"/>
              </w:rPr>
            </w:pPr>
            <w:r>
              <w:rPr>
                <w:rFonts w:ascii="Arial" w:cs="Arial" w:eastAsia="Arial" w:hAnsi="Arial"/>
                <w:sz w:val="14"/>
                <w:szCs w:val="14"/>
                <w:b w:val="1"/>
                <w:bCs w:val="1"/>
                <w:color w:val="auto"/>
              </w:rPr>
              <w:t>Date</w:t>
            </w:r>
          </w:p>
        </w:tc>
        <w:tc>
          <w:tcPr>
            <w:tcW w:w="98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160"/>
              <w:spacing w:after="0" w:line="15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Common Equity/Equity Interests/Warrants—55.0%</w:t>
            </w: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aTyr Pharma, Inc. Warrants *</w:t>
            </w:r>
          </w:p>
        </w:tc>
        <w:tc>
          <w:tcPr>
            <w:tcW w:w="2200" w:type="dxa"/>
            <w:vAlign w:val="bottom"/>
            <w:gridSpan w:val="5"/>
          </w:tcPr>
          <w:p>
            <w:pPr>
              <w:ind w:left="20"/>
              <w:spacing w:after="0"/>
              <w:rPr>
                <w:sz w:val="20"/>
                <w:szCs w:val="20"/>
                <w:color w:val="auto"/>
              </w:rPr>
            </w:pPr>
            <w:r>
              <w:rPr>
                <w:rFonts w:ascii="Arial" w:cs="Arial" w:eastAsia="Arial" w:hAnsi="Arial"/>
                <w:sz w:val="18"/>
                <w:szCs w:val="18"/>
                <w:color w:val="auto"/>
              </w:rPr>
              <w:t>Pharmaceuticals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11/18/2016</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6,347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106</w:t>
            </w: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CardioFocus, Inc. Warrants *</w:t>
            </w:r>
          </w:p>
        </w:tc>
        <w:tc>
          <w:tcPr>
            <w:tcW w:w="2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3/31/2017</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Centrexion Therapeutics, Inc. Warrants *</w:t>
            </w:r>
          </w:p>
        </w:tc>
        <w:tc>
          <w:tcPr>
            <w:tcW w:w="2200" w:type="dxa"/>
            <w:vAlign w:val="bottom"/>
            <w:gridSpan w:val="5"/>
          </w:tcPr>
          <w:p>
            <w:pPr>
              <w:ind w:left="20"/>
              <w:spacing w:after="0"/>
              <w:rPr>
                <w:sz w:val="20"/>
                <w:szCs w:val="20"/>
                <w:color w:val="auto"/>
              </w:rPr>
            </w:pPr>
            <w:r>
              <w:rPr>
                <w:rFonts w:ascii="Arial" w:cs="Arial" w:eastAsia="Arial" w:hAnsi="Arial"/>
                <w:sz w:val="18"/>
                <w:szCs w:val="18"/>
                <w:color w:val="auto"/>
              </w:rPr>
              <w:t>Pharmaceuticals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6/28/2019</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289,102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Conventus Orthopaedics, Inc. Warrants *</w:t>
            </w:r>
          </w:p>
        </w:tc>
        <w:tc>
          <w:tcPr>
            <w:tcW w:w="2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6/15/2016</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Delphinus Medical Technologies, Inc. Warrants *</w:t>
            </w:r>
          </w:p>
        </w:tc>
        <w:tc>
          <w:tcPr>
            <w:tcW w:w="2980" w:type="dxa"/>
            <w:vAlign w:val="bottom"/>
            <w:gridSpan w:val="8"/>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8/18/2017</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444,388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Essence Group Holdings Corporation (Lumeris)</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w:t>
            </w:r>
          </w:p>
        </w:tc>
        <w:tc>
          <w:tcPr>
            <w:tcW w:w="22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Health Care Technology</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3/22/2017</w:t>
            </w:r>
          </w:p>
        </w:tc>
        <w:tc>
          <w:tcPr>
            <w:tcW w:w="1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208,000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KBH Topco LLC (Kingsbridge) (2)(5)</w:t>
            </w:r>
          </w:p>
        </w:tc>
        <w:tc>
          <w:tcPr>
            <w:tcW w:w="2200" w:type="dxa"/>
            <w:vAlign w:val="bottom"/>
            <w:gridSpan w:val="5"/>
          </w:tcPr>
          <w:p>
            <w:pPr>
              <w:ind w:left="20"/>
              <w:spacing w:after="0"/>
              <w:rPr>
                <w:sz w:val="20"/>
                <w:szCs w:val="20"/>
                <w:color w:val="auto"/>
              </w:rPr>
            </w:pPr>
            <w:r>
              <w:rPr>
                <w:rFonts w:ascii="Arial" w:cs="Arial" w:eastAsia="Arial" w:hAnsi="Arial"/>
                <w:sz w:val="18"/>
                <w:szCs w:val="18"/>
                <w:color w:val="auto"/>
              </w:rPr>
              <w:t>Multi-Sector Holdings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11/3/2020</w:t>
            </w:r>
          </w:p>
        </w:tc>
        <w:tc>
          <w:tcPr>
            <w:tcW w:w="10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w w:val="93"/>
              </w:rPr>
              <w:t>73,500,000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136,596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149,496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(2)*</w:t>
            </w:r>
          </w:p>
        </w:tc>
        <w:tc>
          <w:tcPr>
            <w:tcW w:w="2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Diversified Consumer Services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12/23/2013</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231,177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15,683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RD Holdco Inc. (Rug Doctor) Class B (2)*</w:t>
            </w:r>
          </w:p>
        </w:tc>
        <w:tc>
          <w:tcPr>
            <w:tcW w:w="2980" w:type="dxa"/>
            <w:vAlign w:val="bottom"/>
            <w:gridSpan w:val="8"/>
          </w:tcPr>
          <w:p>
            <w:pPr>
              <w:ind w:left="20"/>
              <w:spacing w:after="0"/>
              <w:rPr>
                <w:sz w:val="20"/>
                <w:szCs w:val="20"/>
                <w:color w:val="auto"/>
              </w:rPr>
            </w:pPr>
            <w:r>
              <w:rPr>
                <w:rFonts w:ascii="Arial" w:cs="Arial" w:eastAsia="Arial" w:hAnsi="Arial"/>
                <w:sz w:val="18"/>
                <w:szCs w:val="18"/>
                <w:color w:val="auto"/>
              </w:rPr>
              <w:t>Diversified Consumer Services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5,216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Warrants (2)*</w:t>
            </w:r>
          </w:p>
        </w:tc>
        <w:tc>
          <w:tcPr>
            <w:tcW w:w="2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Diversified Consumer Services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12/23/2013</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30,370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Senseonics Holdings, Inc. (3)(8)*</w:t>
            </w:r>
          </w:p>
        </w:tc>
        <w:tc>
          <w:tcPr>
            <w:tcW w:w="2980" w:type="dxa"/>
            <w:vAlign w:val="bottom"/>
            <w:gridSpan w:val="8"/>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7/25/2019</w:t>
            </w:r>
          </w:p>
        </w:tc>
        <w:tc>
          <w:tcPr>
            <w:tcW w:w="1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406,923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SLR Credit Solutions (2)(3)</w:t>
            </w:r>
          </w:p>
        </w:tc>
        <w:tc>
          <w:tcPr>
            <w:tcW w:w="22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Diversified Financial Services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12/28/2012</w:t>
            </w: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280,303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280,737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298,766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Vapotherm, Inc. Warrants(3)*</w:t>
            </w:r>
          </w:p>
        </w:tc>
        <w:tc>
          <w:tcPr>
            <w:tcW w:w="2980" w:type="dxa"/>
            <w:vAlign w:val="bottom"/>
            <w:gridSpan w:val="8"/>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2/18/2022</w:t>
            </w:r>
          </w:p>
        </w:tc>
        <w:tc>
          <w:tcPr>
            <w:tcW w:w="10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30,635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Venus Concept Ltd. Warrants* (f/k/a Restoration</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Robotics)</w:t>
            </w:r>
          </w:p>
        </w:tc>
        <w:tc>
          <w:tcPr>
            <w:tcW w:w="2980" w:type="dxa"/>
            <w:vAlign w:val="bottom"/>
            <w:gridSpan w:val="8"/>
            <w:shd w:val="clear" w:color="auto" w:fill="CCEEFF"/>
          </w:tcPr>
          <w:p>
            <w:pPr>
              <w:ind w:left="20"/>
              <w:spacing w:after="0"/>
              <w:rPr>
                <w:sz w:val="20"/>
                <w:szCs w:val="20"/>
                <w:color w:val="auto"/>
              </w:rPr>
            </w:pPr>
            <w:r>
              <w:rPr>
                <w:rFonts w:ascii="Arial" w:cs="Arial" w:eastAsia="Arial" w:hAnsi="Arial"/>
                <w:sz w:val="18"/>
                <w:szCs w:val="18"/>
                <w:color w:val="auto"/>
              </w:rPr>
              <w:t>Health Care Equipment &amp; Supplies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5/10/2018</w:t>
            </w:r>
          </w:p>
        </w:tc>
        <w:tc>
          <w:tcPr>
            <w:tcW w:w="10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27,352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7"/>
          </w:tcPr>
          <w:p>
            <w:pPr>
              <w:ind w:left="340"/>
              <w:spacing w:after="0"/>
              <w:rPr>
                <w:sz w:val="20"/>
                <w:szCs w:val="20"/>
                <w:color w:val="auto"/>
              </w:rPr>
            </w:pPr>
            <w:r>
              <w:rPr>
                <w:rFonts w:ascii="Arial" w:cs="Arial" w:eastAsia="Arial" w:hAnsi="Arial"/>
                <w:sz w:val="18"/>
                <w:szCs w:val="18"/>
                <w:b w:val="1"/>
                <w:bCs w:val="1"/>
                <w:color w:val="auto"/>
              </w:rPr>
              <w:t>Total Common Equity/Equity Interests/Warrants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439,554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454,889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Investments (6) — 196.8%</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1,664,889</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1,626,473</w:t>
            </w:r>
          </w:p>
        </w:tc>
        <w:tc>
          <w:tcPr>
            <w:tcW w:w="0" w:type="dxa"/>
            <w:vAlign w:val="bottom"/>
          </w:tcPr>
          <w:p>
            <w:pPr>
              <w:spacing w:after="0"/>
              <w:rPr>
                <w:sz w:val="1"/>
                <w:szCs w:val="1"/>
                <w:color w:val="auto"/>
              </w:rPr>
            </w:pPr>
          </w:p>
        </w:tc>
      </w:tr>
      <w:tr>
        <w:trPr>
          <w:trHeight w:val="374"/>
        </w:trPr>
        <w:tc>
          <w:tcPr>
            <w:tcW w:w="4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Industry</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9"/>
              </w:rPr>
              <w:t>Acquisition</w:t>
            </w:r>
          </w:p>
        </w:tc>
        <w:tc>
          <w:tcPr>
            <w:tcW w:w="140" w:type="dxa"/>
            <w:vAlign w:val="bottom"/>
          </w:tcPr>
          <w:p>
            <w:pPr>
              <w:spacing w:after="0"/>
              <w:rPr>
                <w:sz w:val="24"/>
                <w:szCs w:val="24"/>
                <w:color w:val="auto"/>
              </w:rPr>
            </w:pP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24"/>
                <w:szCs w:val="24"/>
                <w:color w:val="auto"/>
              </w:rPr>
            </w:pPr>
          </w:p>
        </w:tc>
        <w:tc>
          <w:tcPr>
            <w:tcW w:w="9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Par Amount</w:t>
            </w: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780" w:type="dxa"/>
            <w:vAlign w:val="bottom"/>
            <w:gridSpan w:val="3"/>
          </w:tcPr>
          <w:p>
            <w:pPr>
              <w:ind w:left="220"/>
              <w:spacing w:after="0" w:line="157" w:lineRule="exact"/>
              <w:rPr>
                <w:sz w:val="20"/>
                <w:szCs w:val="20"/>
                <w:color w:val="auto"/>
              </w:rPr>
            </w:pPr>
            <w:r>
              <w:rPr>
                <w:rFonts w:ascii="Arial" w:cs="Arial" w:eastAsia="Arial" w:hAnsi="Arial"/>
                <w:sz w:val="14"/>
                <w:szCs w:val="14"/>
                <w:b w:val="1"/>
                <w:bCs w:val="1"/>
                <w:color w:val="auto"/>
              </w:rPr>
              <w:t>Date</w:t>
            </w:r>
          </w:p>
        </w:tc>
        <w:tc>
          <w:tcPr>
            <w:tcW w:w="140" w:type="dxa"/>
            <w:vAlign w:val="bottom"/>
          </w:tcPr>
          <w:p>
            <w:pPr>
              <w:spacing w:after="0"/>
              <w:rPr>
                <w:sz w:val="13"/>
                <w:szCs w:val="13"/>
                <w:color w:val="auto"/>
              </w:rPr>
            </w:pPr>
          </w:p>
        </w:tc>
        <w:tc>
          <w:tcPr>
            <w:tcW w:w="880" w:type="dxa"/>
            <w:vAlign w:val="bottom"/>
            <w:gridSpan w:val="3"/>
          </w:tcPr>
          <w:p>
            <w:pPr>
              <w:ind w:left="240"/>
              <w:spacing w:after="0" w:line="157"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Equivalents — 70.2%</w:t>
            </w: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U.S. Treasury Bill</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color w:val="auto"/>
              </w:rPr>
              <w:t>Government</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w w:val="92"/>
              </w:rPr>
              <w:t>3/31/2022</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5/24/2022</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$ 580,000</w:t>
            </w: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579,829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Total Investments &amp; Cash Equivalents —267.0%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$2,244,718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2,206,302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Liabilities in Excess of Other Assets — (167.0%)</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(1,379,885)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 — 100.0%</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826,417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580" w:right="260" w:hanging="438"/>
        <w:spacing w:after="0" w:line="226"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Floating rate debt investments typically bear interest at a rate determined by reference to the London Interbank Offered Rate (“LIBOR”) or Secured Overnight Financing Rate (“SOFR”), and which typically reset monthly, quarterly or semi-annually. For each debt investment we have provided the current rate of interest, or in the case of leases the current implied yield, in effect as of March 31, 2022.</w:t>
      </w:r>
    </w:p>
    <w:p>
      <w:pPr>
        <w:jc w:val="both"/>
        <w:ind w:left="580" w:right="20" w:hanging="438"/>
        <w:spacing w:after="0" w:line="23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Denotes investments in which we are deemed to exercise a controlling influence over the management or policies of a company, as defined in the Investment Company Act of 1940, as amended (“1940 Act”), due to beneficially owning, either directly or through one or more controlled companies, more than 25% of the outstanding voting securities of the investment. Transactions during the three months ended March 31, 2022 in these controlled investments are as follows:</w:t>
      </w:r>
    </w:p>
    <w:p>
      <w:pPr>
        <w:spacing w:after="0" w:line="19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Realized</w:t>
            </w:r>
          </w:p>
        </w:tc>
        <w:tc>
          <w:tcPr>
            <w:tcW w:w="3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Unrealized</w:t>
            </w: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Interest/Dividend</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Issuer</w:t>
            </w: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rPr>
              <w:t>Gain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Gain</w:t>
            </w:r>
          </w:p>
        </w:tc>
        <w:tc>
          <w:tcPr>
            <w:tcW w:w="138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20" w:type="dxa"/>
            <w:vAlign w:val="bottom"/>
            <w:gridSpan w:val="2"/>
            <w:vMerge w:val="continue"/>
          </w:tcPr>
          <w:p>
            <w:pPr>
              <w:spacing w:after="0"/>
              <w:rPr>
                <w:sz w:val="13"/>
                <w:szCs w:val="13"/>
                <w:color w:val="auto"/>
              </w:rPr>
            </w:pPr>
          </w:p>
        </w:tc>
        <w:tc>
          <w:tcPr>
            <w:tcW w:w="144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December 31, 2021</w:t>
            </w:r>
          </w:p>
        </w:tc>
        <w:tc>
          <w:tcPr>
            <w:tcW w:w="900" w:type="dxa"/>
            <w:vAlign w:val="bottom"/>
            <w:gridSpan w:val="3"/>
          </w:tcPr>
          <w:p>
            <w:pPr>
              <w:ind w:left="20"/>
              <w:spacing w:after="0" w:line="157" w:lineRule="exact"/>
              <w:rPr>
                <w:sz w:val="20"/>
                <w:szCs w:val="20"/>
                <w:color w:val="auto"/>
              </w:rPr>
            </w:pPr>
            <w:r>
              <w:rPr>
                <w:rFonts w:ascii="Arial" w:cs="Arial" w:eastAsia="Arial" w:hAnsi="Arial"/>
                <w:sz w:val="14"/>
                <w:szCs w:val="14"/>
                <w:b w:val="1"/>
                <w:bCs w:val="1"/>
                <w:color w:val="auto"/>
              </w:rPr>
              <w:t>Additions</w:t>
            </w:r>
          </w:p>
        </w:tc>
        <w:tc>
          <w:tcPr>
            <w:tcW w:w="8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Reductions</w:t>
            </w:r>
          </w:p>
        </w:tc>
        <w:tc>
          <w:tcPr>
            <w:tcW w:w="140" w:type="dxa"/>
            <w:vAlign w:val="bottom"/>
          </w:tcPr>
          <w:p>
            <w:pPr>
              <w:spacing w:after="0"/>
              <w:rPr>
                <w:sz w:val="13"/>
                <w:szCs w:val="13"/>
                <w:color w:val="auto"/>
              </w:rPr>
            </w:pPr>
          </w:p>
        </w:tc>
        <w:tc>
          <w:tcPr>
            <w:tcW w:w="54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3"/>
                <w:szCs w:val="13"/>
                <w:color w:val="auto"/>
              </w:rPr>
            </w:pPr>
          </w:p>
        </w:tc>
        <w:tc>
          <w:tcPr>
            <w:tcW w:w="1180" w:type="dxa"/>
            <w:vAlign w:val="bottom"/>
            <w:gridSpan w:val="2"/>
          </w:tcPr>
          <w:p>
            <w:pPr>
              <w:jc w:val="right"/>
              <w:ind w:right="600"/>
              <w:spacing w:after="0" w:line="157" w:lineRule="exact"/>
              <w:rPr>
                <w:sz w:val="20"/>
                <w:szCs w:val="20"/>
                <w:color w:val="auto"/>
              </w:rPr>
            </w:pPr>
            <w:r>
              <w:rPr>
                <w:rFonts w:ascii="Arial" w:cs="Arial" w:eastAsia="Arial" w:hAnsi="Arial"/>
                <w:sz w:val="14"/>
                <w:szCs w:val="14"/>
                <w:b w:val="1"/>
                <w:bCs w:val="1"/>
                <w:color w:val="auto"/>
              </w:rPr>
              <w:t>Income</w:t>
            </w:r>
          </w:p>
        </w:tc>
        <w:tc>
          <w:tcPr>
            <w:tcW w:w="10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8"/>
              </w:rPr>
              <w:t>March 31, 2022</w:t>
            </w: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Equipment Operating Leases, LLC</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18,939</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88"/>
              </w:rPr>
              <w:t>7,796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86"/>
              </w:rPr>
              <w:t>449</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Kingsbridge Holdings, LLC</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1,621</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KBH Topco, LLC (Kingsbridge)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149,496</w:t>
            </w: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Loyer Capital LLC</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10,725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1"/>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RD Holdco Inc. (Rug Doctor, common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RD Holdco Inc. (Rug Doctor, class B)..</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5,216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warrants)..</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Rug Doctor LLC</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(1,826)</w:t>
            </w: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SLR Credit Solutions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5,500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298,766</w:t>
            </w: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SLR Equipment Finance (equity)</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129,102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129,102</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SLR Equipment Finance (debt)</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5"/>
        </w:trPr>
        <w:tc>
          <w:tcPr>
            <w:tcW w:w="3420" w:type="dxa"/>
            <w:vAlign w:val="bottom"/>
            <w:gridSpan w:val="2"/>
          </w:tcPr>
          <w:p>
            <w:pPr>
              <w:spacing w:after="0"/>
              <w:rPr>
                <w:sz w:val="20"/>
                <w:szCs w:val="20"/>
                <w:color w:val="auto"/>
              </w:rPr>
            </w:pPr>
            <w:r>
              <w:rPr>
                <w:rFonts w:ascii="Arial" w:cs="Arial" w:eastAsia="Arial" w:hAnsi="Arial"/>
                <w:sz w:val="18"/>
                <w:szCs w:val="18"/>
                <w:color w:val="auto"/>
              </w:rPr>
              <w:t>SOAGG LLC</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SOINT, LLC</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706,203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8"/>
              </w:rPr>
              <w:t>8,440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704,642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00"/>
          </w:cols>
          <w:pgMar w:left="320" w:top="458" w:right="479" w:bottom="1440" w:gutter="0" w:footer="0" w:header="0"/>
        </w:sectPr>
      </w:pP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100"/>
          </w:cols>
          <w:pgMar w:left="320" w:top="458" w:right="4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p>
      <w:pPr>
        <w:ind w:left="580" w:right="120" w:hanging="438"/>
        <w:spacing w:after="0" w:line="268"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Indicates assets that the Company believes may not represent “qualifying assets” under Section 55(a) of the 1940 Act. If we fail to invest a sufficient portion of our assets in qualifying assets, we could be prevented from making follow-on investments in existing portfolio companies or could be required to dispose of investments at inappropriate times in order to comply with the 1940 Act. As of March 31, 2022, on a fair value basis, non-qualifying assets in the portfolio represented 23.9% of the total assets of the Company.</w:t>
      </w:r>
    </w:p>
    <w:p>
      <w:pPr>
        <w:spacing w:after="0" w:line="1" w:lineRule="exact"/>
        <w:rPr>
          <w:rFonts w:ascii="Arial" w:cs="Arial" w:eastAsia="Arial" w:hAnsi="Arial"/>
          <w:sz w:val="17"/>
          <w:szCs w:val="17"/>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investment in SOINT, LLC include a one dollar investment in common shares.</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Kingsbridge Holdings, LLC is held through KBH Topco LLC, a Delaware corporation.</w:t>
      </w:r>
    </w:p>
    <w:p>
      <w:pPr>
        <w:spacing w:after="0" w:line="8" w:lineRule="exact"/>
        <w:rPr>
          <w:rFonts w:ascii="Arial" w:cs="Arial" w:eastAsia="Arial" w:hAnsi="Arial"/>
          <w:sz w:val="18"/>
          <w:szCs w:val="18"/>
          <w:color w:val="auto"/>
        </w:rPr>
      </w:pPr>
    </w:p>
    <w:p>
      <w:pPr>
        <w:ind w:left="580" w:hanging="438"/>
        <w:spacing w:after="0" w:line="24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net unrealized appreciation for U.S. federal income tax purposes is $7,450; aggregate gross unrealized appreciation and depreciation for U.S. federal tax purposes is $89,440 and $81,990, respectively, based on a tax cost of $1,619,023. Unless otherwise noted, all of the Company’s investments are pledged as collateral against the borrowings outstanding on the senior secured credit facility.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 All investments are Level 3 unless otherwise indicated.</w:t>
      </w:r>
    </w:p>
    <w:p>
      <w:pPr>
        <w:spacing w:after="0" w:line="1" w:lineRule="exact"/>
        <w:rPr>
          <w:rFonts w:ascii="Arial" w:cs="Arial" w:eastAsia="Arial" w:hAnsi="Arial"/>
          <w:sz w:val="18"/>
          <w:szCs w:val="18"/>
          <w:color w:val="auto"/>
        </w:rPr>
      </w:pPr>
    </w:p>
    <w:p>
      <w:pPr>
        <w:ind w:left="580" w:right="620" w:hanging="438"/>
        <w:spacing w:after="0" w:line="24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Floating rate instruments accrue interest at a predetermined spread relative to an index, typically the LIBOR, SOFR or PRIME rate. These instruments are often subject to a LIBOR, SOFR or PRIME rate floor.</w:t>
      </w: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Denotes a Level 1 investment.</w:t>
      </w:r>
    </w:p>
    <w:p>
      <w:pPr>
        <w:spacing w:after="0" w:line="8" w:lineRule="exact"/>
        <w:rPr>
          <w:rFonts w:ascii="Arial" w:cs="Arial" w:eastAsia="Arial" w:hAnsi="Arial"/>
          <w:sz w:val="18"/>
          <w:szCs w:val="18"/>
          <w:color w:val="auto"/>
        </w:rPr>
      </w:pPr>
    </w:p>
    <w:p>
      <w:pPr>
        <w:ind w:left="580" w:right="140" w:hanging="438"/>
        <w:spacing w:after="0" w:line="24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SLR Equipment Finance is held through NEFCORP LLC, a wholly-owned consolidated taxable subsidiary and NEFPASS LLC, a wholly-owned consolidated subsidiary.</w:t>
      </w: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Indicates an investment that is wholly held by the Company through NEFPASS LLC.</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is paid in kind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Denotes a subsidiary of SLR Equipment Finance.</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OmniGuide Holdings, Inc., Domain Surgical, Inc. and OmniGuide, Inc. are co-borrowers.</w:t>
      </w:r>
    </w:p>
    <w:p>
      <w:pPr>
        <w:spacing w:after="0" w:line="8" w:lineRule="exact"/>
        <w:rPr>
          <w:rFonts w:ascii="Arial" w:cs="Arial" w:eastAsia="Arial" w:hAnsi="Arial"/>
          <w:sz w:val="18"/>
          <w:szCs w:val="18"/>
          <w:color w:val="auto"/>
        </w:rPr>
      </w:pPr>
    </w:p>
    <w:p>
      <w:pPr>
        <w:ind w:left="580" w:right="220" w:hanging="438"/>
        <w:spacing w:after="0" w:line="249"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AmeriMark Interactive, LLC, AmeriMark Direct LLC, AmeriMark Intermediate Sub, Inc., L.T.D. Commodities LLC, Dr. Leonard’s Healthcare Corp. and Amerimark Intermediate Holdings, LLC are each co-Borrowers.</w:t>
      </w: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Spread is 6.00% Cash / 2.50%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Spread is 2.50% Cash / 12.50%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Spread is 5.50% Cash / 0.50% PIK.</w:t>
      </w:r>
    </w:p>
    <w:p>
      <w:pPr>
        <w:spacing w:after="0" w:line="8" w:lineRule="exact"/>
        <w:rPr>
          <w:sz w:val="20"/>
          <w:szCs w:val="20"/>
          <w:color w:val="auto"/>
        </w:rPr>
      </w:pPr>
    </w:p>
    <w:p>
      <w:pPr>
        <w:ind w:left="140" w:right="7960" w:firstLine="2"/>
        <w:spacing w:after="0" w:line="287" w:lineRule="auto"/>
        <w:tabs>
          <w:tab w:leader="none" w:pos="57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Non-income producing security. ** Investment is on non-accrual status.</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8"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(unaudited)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Percentage of Total</w:t>
            </w:r>
          </w:p>
        </w:tc>
        <w:tc>
          <w:tcPr>
            <w:tcW w:w="0" w:type="dxa"/>
            <w:vAlign w:val="bottom"/>
          </w:tcPr>
          <w:p>
            <w:pPr>
              <w:spacing w:after="0"/>
              <w:rPr>
                <w:sz w:val="1"/>
                <w:szCs w:val="1"/>
                <w:color w:val="auto"/>
              </w:rPr>
            </w:pPr>
          </w:p>
        </w:tc>
      </w:tr>
      <w:tr>
        <w:trPr>
          <w:trHeight w:val="148"/>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7600" w:type="dxa"/>
            <w:vAlign w:val="bottom"/>
            <w:vMerge w:val="restart"/>
          </w:tcPr>
          <w:p>
            <w:pPr>
              <w:spacing w:after="0"/>
              <w:rPr>
                <w:sz w:val="12"/>
                <w:szCs w:val="12"/>
                <w:color w:val="auto"/>
              </w:rPr>
            </w:pPr>
          </w:p>
        </w:tc>
        <w:tc>
          <w:tcPr>
            <w:tcW w:w="1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Investments (at fair value) as</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auto"/>
            </w:tcBorders>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196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4"/>
              </w:rPr>
              <w:t>of March 31, 2022</w:t>
            </w:r>
          </w:p>
        </w:tc>
        <w:tc>
          <w:tcPr>
            <w:tcW w:w="0" w:type="dxa"/>
            <w:vAlign w:val="bottom"/>
          </w:tcPr>
          <w:p>
            <w:pPr>
              <w:spacing w:after="0"/>
              <w:rPr>
                <w:sz w:val="1"/>
                <w:szCs w:val="1"/>
                <w:color w:val="auto"/>
              </w:rPr>
            </w:pPr>
          </w:p>
        </w:tc>
      </w:tr>
      <w:tr>
        <w:trPr>
          <w:trHeight w:val="174"/>
        </w:trPr>
        <w:tc>
          <w:tcPr>
            <w:tcW w:w="900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8"/>
                <w:szCs w:val="18"/>
                <w:color w:val="auto"/>
              </w:rPr>
              <w:t>Multi-Sector Holdings (includes Kingsbridge Holdings, LLC, SLR Equipment Finance, Equipment</w:t>
            </w:r>
          </w:p>
        </w:tc>
        <w:tc>
          <w:tcPr>
            <w:tcW w:w="1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 LLC and Loyer Capital LLC)</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Diversified Financial Services (includes SLR Credit Solutions)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Providers &amp; Services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Pharmaceuticals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Equipment &amp; Supplies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Wireless Telecommunication Services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Markets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Personal Products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Road &amp; Rail</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IT Services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Diversified Consumer Services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Auto Parts &amp; Equipment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&amp; Catalog Retail</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Packaged Foods &amp; Meats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Tools &amp; Services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Communications Equipment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Auto Components</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Airlines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Health Care Technology</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Metals &amp; Mining</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&amp; Defense</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Consumer Finance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&amp; Engineering</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Hotels, Restaurants &amp; Leisure</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Gas &amp; Consumable Fuels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color w:val="auto"/>
              </w:rPr>
              <w:t>Containers &amp; Packaging</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Equipment &amp; Services</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Investments</w:t>
            </w:r>
          </w:p>
        </w:tc>
        <w:tc>
          <w:tcPr>
            <w:tcW w:w="1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0" w:type="dxa"/>
            <w:vAlign w:val="bottom"/>
            <w:gridSpan w:val="2"/>
            <w:vMerge w:val="continue"/>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8"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Spread</w:t>
            </w: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LIBOR</w:t>
            </w: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1"/>
              </w:rPr>
              <w:t>Acquisition</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2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Industry</w:t>
            </w:r>
          </w:p>
        </w:tc>
        <w:tc>
          <w:tcPr>
            <w:tcW w:w="8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3"/>
              </w:rPr>
              <w:t>Above</w:t>
            </w: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20" w:type="dxa"/>
            <w:vAlign w:val="bottom"/>
            <w:gridSpan w:val="7"/>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(7)</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Floor</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1"/>
        </w:trPr>
        <w:tc>
          <w:tcPr>
            <w:tcW w:w="2020" w:type="dxa"/>
            <w:vAlign w:val="bottom"/>
            <w:tcBorders>
              <w:top w:val="single" w:sz="8" w:color="auto"/>
            </w:tcBorders>
            <w:gridSpan w:val="7"/>
            <w:shd w:val="clear" w:color="auto" w:fill="CCEEFF"/>
          </w:tcPr>
          <w:p>
            <w:pPr>
              <w:spacing w:after="0" w:line="141" w:lineRule="exact"/>
              <w:rPr>
                <w:sz w:val="20"/>
                <w:szCs w:val="20"/>
                <w:color w:val="auto"/>
              </w:rPr>
            </w:pPr>
            <w:r>
              <w:rPr>
                <w:rFonts w:ascii="Arial" w:cs="Arial" w:eastAsia="Arial" w:hAnsi="Arial"/>
                <w:sz w:val="14"/>
                <w:szCs w:val="14"/>
                <w:b w:val="1"/>
                <w:bCs w:val="1"/>
                <w:color w:val="auto"/>
                <w:w w:val="92"/>
              </w:rPr>
              <w:t>Senior Secured Loans — 111.5%</w:t>
            </w:r>
          </w:p>
        </w:tc>
        <w:tc>
          <w:tcPr>
            <w:tcW w:w="2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20" w:type="dxa"/>
            <w:vAlign w:val="bottom"/>
            <w:gridSpan w:val="7"/>
          </w:tcPr>
          <w:p>
            <w:pPr>
              <w:spacing w:after="0" w:line="135" w:lineRule="exact"/>
              <w:rPr>
                <w:sz w:val="20"/>
                <w:szCs w:val="20"/>
                <w:color w:val="auto"/>
              </w:rPr>
            </w:pPr>
            <w:r>
              <w:rPr>
                <w:rFonts w:ascii="Arial" w:cs="Arial" w:eastAsia="Arial" w:hAnsi="Arial"/>
                <w:sz w:val="14"/>
                <w:szCs w:val="14"/>
                <w:color w:val="auto"/>
              </w:rPr>
              <w:t>First Lien Bank Debt/Senior</w:t>
            </w: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4"/>
                <w:szCs w:val="14"/>
                <w:color w:val="auto"/>
                <w:w w:val="89"/>
              </w:rPr>
              <w:t>Secured Loans</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7"/>
            <w:shd w:val="clear" w:color="auto" w:fill="CCEEFF"/>
          </w:tcPr>
          <w:p>
            <w:pPr>
              <w:spacing w:after="0" w:line="123" w:lineRule="exact"/>
              <w:rPr>
                <w:sz w:val="20"/>
                <w:szCs w:val="20"/>
                <w:color w:val="auto"/>
              </w:rPr>
            </w:pPr>
            <w:r>
              <w:rPr>
                <w:rFonts w:ascii="Arial" w:cs="Arial" w:eastAsia="Arial" w:hAnsi="Arial"/>
                <w:sz w:val="14"/>
                <w:szCs w:val="14"/>
                <w:color w:val="auto"/>
              </w:rPr>
              <w:t>Aegis Toxicology Sciences</w:t>
            </w:r>
          </w:p>
        </w:tc>
        <w:tc>
          <w:tcPr>
            <w:tcW w:w="2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Corporation</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L+550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5/7/2018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5/9/2025</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12,283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12,402</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Alteon Health,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L+650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7.50%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9/14/2018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14,117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14,079</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14,117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American Teleconferencing</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Services, Ltd.**</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Communications Equipment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L+650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5/5/2016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9/9/2021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24,822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24,453</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129"/>
        </w:trPr>
        <w:tc>
          <w:tcPr>
            <w:tcW w:w="2020" w:type="dxa"/>
            <w:vAlign w:val="bottom"/>
            <w:gridSpan w:val="7"/>
          </w:tcPr>
          <w:p>
            <w:pPr>
              <w:spacing w:after="0" w:line="129" w:lineRule="exact"/>
              <w:rPr>
                <w:sz w:val="20"/>
                <w:szCs w:val="20"/>
                <w:color w:val="auto"/>
              </w:rPr>
            </w:pPr>
            <w:r>
              <w:rPr>
                <w:rFonts w:ascii="Arial" w:cs="Arial" w:eastAsia="Arial" w:hAnsi="Arial"/>
                <w:sz w:val="14"/>
                <w:szCs w:val="14"/>
                <w:color w:val="auto"/>
              </w:rPr>
              <w:t>American Teleconferencing</w:t>
            </w: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tcPr>
          <w:p>
            <w:pPr>
              <w:ind w:left="140"/>
              <w:spacing w:after="0"/>
              <w:rPr>
                <w:sz w:val="20"/>
                <w:szCs w:val="20"/>
                <w:color w:val="auto"/>
              </w:rPr>
            </w:pPr>
            <w:r>
              <w:rPr>
                <w:rFonts w:ascii="Arial" w:cs="Arial" w:eastAsia="Arial" w:hAnsi="Arial"/>
                <w:sz w:val="14"/>
                <w:szCs w:val="14"/>
                <w:color w:val="auto"/>
              </w:rPr>
              <w:t>Services, Ltd.**</w:t>
            </w:r>
          </w:p>
        </w:tc>
        <w:tc>
          <w:tcPr>
            <w:tcW w:w="2420" w:type="dxa"/>
            <w:vAlign w:val="bottom"/>
            <w:gridSpan w:val="2"/>
          </w:tcPr>
          <w:p>
            <w:pPr>
              <w:ind w:left="40"/>
              <w:spacing w:after="0"/>
              <w:rPr>
                <w:sz w:val="20"/>
                <w:szCs w:val="20"/>
                <w:color w:val="auto"/>
              </w:rPr>
            </w:pPr>
            <w:r>
              <w:rPr>
                <w:rFonts w:ascii="Arial" w:cs="Arial" w:eastAsia="Arial" w:hAnsi="Arial"/>
                <w:sz w:val="14"/>
                <w:szCs w:val="14"/>
                <w:color w:val="auto"/>
              </w:rPr>
              <w:t>Communications Equipment</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L+650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7.50%</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9/17/2021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3/31/2022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4,576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4,508</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4,576</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AmeriMark Intermediate</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Holdings, LLC(14)</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Internet &amp; Catalog Retail</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L+600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7/28/2021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10/15/2026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24,739</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24,721</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Atria Wealth Solutions,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Diversified Financial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L+600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7.00%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9/14/2018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6"/>
              </w:rPr>
              <w:t>11/30/2022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6,345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6,329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6,345</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Basic Fun, Inc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Specialty Retail</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L+550</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6.50%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w w:val="99"/>
              </w:rPr>
              <w:t>10/30/2020</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w w:val="96"/>
              </w:rPr>
              <w:t>10/30/2023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2,902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2,902</w:t>
            </w:r>
          </w:p>
        </w:tc>
        <w:tc>
          <w:tcPr>
            <w:tcW w:w="0" w:type="dxa"/>
            <w:vAlign w:val="bottom"/>
          </w:tcPr>
          <w:p>
            <w:pPr>
              <w:spacing w:after="0"/>
              <w:rPr>
                <w:sz w:val="1"/>
                <w:szCs w:val="1"/>
                <w:color w:val="auto"/>
              </w:rPr>
            </w:pPr>
          </w:p>
        </w:tc>
      </w:tr>
      <w:tr>
        <w:trPr>
          <w:trHeight w:val="129"/>
        </w:trPr>
        <w:tc>
          <w:tcPr>
            <w:tcW w:w="2020" w:type="dxa"/>
            <w:vAlign w:val="bottom"/>
            <w:gridSpan w:val="7"/>
          </w:tcPr>
          <w:p>
            <w:pPr>
              <w:spacing w:after="0" w:line="129" w:lineRule="exact"/>
              <w:rPr>
                <w:sz w:val="20"/>
                <w:szCs w:val="20"/>
                <w:color w:val="auto"/>
              </w:rPr>
            </w:pPr>
            <w:r>
              <w:rPr>
                <w:rFonts w:ascii="Arial" w:cs="Arial" w:eastAsia="Arial" w:hAnsi="Arial"/>
                <w:sz w:val="14"/>
                <w:szCs w:val="14"/>
                <w:color w:val="auto"/>
              </w:rPr>
              <w:t>CC SAG Holdings Corp.</w:t>
            </w: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tcPr>
          <w:p>
            <w:pPr>
              <w:ind w:left="140"/>
              <w:spacing w:after="0"/>
              <w:rPr>
                <w:sz w:val="20"/>
                <w:szCs w:val="20"/>
                <w:color w:val="auto"/>
              </w:rPr>
            </w:pPr>
            <w:r>
              <w:rPr>
                <w:rFonts w:ascii="Arial" w:cs="Arial" w:eastAsia="Arial" w:hAnsi="Arial"/>
                <w:sz w:val="14"/>
                <w:szCs w:val="14"/>
                <w:color w:val="auto"/>
              </w:rPr>
              <w:t>(Spectrum Automotive)</w:t>
            </w:r>
          </w:p>
        </w:tc>
        <w:tc>
          <w:tcPr>
            <w:tcW w:w="2420" w:type="dxa"/>
            <w:vAlign w:val="bottom"/>
            <w:gridSpan w:val="2"/>
          </w:tcPr>
          <w:p>
            <w:pPr>
              <w:ind w:left="40"/>
              <w:spacing w:after="0"/>
              <w:rPr>
                <w:sz w:val="20"/>
                <w:szCs w:val="20"/>
                <w:color w:val="auto"/>
              </w:rPr>
            </w:pPr>
            <w:r>
              <w:rPr>
                <w:rFonts w:ascii="Arial" w:cs="Arial" w:eastAsia="Arial" w:hAnsi="Arial"/>
                <w:sz w:val="14"/>
                <w:szCs w:val="14"/>
                <w:color w:val="auto"/>
              </w:rPr>
              <w:t>Diversified Consumer Services</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L+575</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0.75%</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6.50%</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6/29/2021</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6/29/2028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12,168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11,995</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12,168</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Community Brands ParentCo,</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LLC (f/k/a Ministry Brands)</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L+400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7/30/2021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12/2/2022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34,901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34,538</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34,901</w:t>
            </w:r>
          </w:p>
        </w:tc>
        <w:tc>
          <w:tcPr>
            <w:tcW w:w="0" w:type="dxa"/>
            <w:vAlign w:val="bottom"/>
          </w:tcPr>
          <w:p>
            <w:pPr>
              <w:spacing w:after="0"/>
              <w:rPr>
                <w:sz w:val="1"/>
                <w:szCs w:val="1"/>
                <w:color w:val="auto"/>
              </w:rPr>
            </w:pPr>
          </w:p>
        </w:tc>
      </w:tr>
      <w:tr>
        <w:trPr>
          <w:trHeight w:val="129"/>
        </w:trPr>
        <w:tc>
          <w:tcPr>
            <w:tcW w:w="2020" w:type="dxa"/>
            <w:vAlign w:val="bottom"/>
            <w:gridSpan w:val="7"/>
          </w:tcPr>
          <w:p>
            <w:pPr>
              <w:spacing w:after="0" w:line="129" w:lineRule="exact"/>
              <w:rPr>
                <w:sz w:val="20"/>
                <w:szCs w:val="20"/>
                <w:color w:val="auto"/>
              </w:rPr>
            </w:pPr>
            <w:r>
              <w:rPr>
                <w:rFonts w:ascii="Arial" w:cs="Arial" w:eastAsia="Arial" w:hAnsi="Arial"/>
                <w:sz w:val="14"/>
                <w:szCs w:val="14"/>
                <w:color w:val="auto"/>
              </w:rPr>
              <w:t>Enhanced Permanent Capital,</w:t>
            </w: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tcPr>
          <w:p>
            <w:pPr>
              <w:ind w:left="140"/>
              <w:spacing w:after="0"/>
              <w:rPr>
                <w:sz w:val="20"/>
                <w:szCs w:val="20"/>
                <w:color w:val="auto"/>
              </w:rPr>
            </w:pPr>
            <w:r>
              <w:rPr>
                <w:rFonts w:ascii="Arial" w:cs="Arial" w:eastAsia="Arial" w:hAnsi="Arial"/>
                <w:sz w:val="14"/>
                <w:szCs w:val="14"/>
                <w:color w:val="auto"/>
              </w:rPr>
              <w:t>LLC(3)</w:t>
            </w:r>
          </w:p>
        </w:tc>
        <w:tc>
          <w:tcPr>
            <w:tcW w:w="2420" w:type="dxa"/>
            <w:vAlign w:val="bottom"/>
            <w:gridSpan w:val="2"/>
          </w:tcPr>
          <w:p>
            <w:pPr>
              <w:ind w:left="40"/>
              <w:spacing w:after="0"/>
              <w:rPr>
                <w:sz w:val="20"/>
                <w:szCs w:val="20"/>
                <w:color w:val="auto"/>
              </w:rPr>
            </w:pPr>
            <w:r>
              <w:rPr>
                <w:rFonts w:ascii="Arial" w:cs="Arial" w:eastAsia="Arial" w:hAnsi="Arial"/>
                <w:sz w:val="14"/>
                <w:szCs w:val="14"/>
                <w:color w:val="auto"/>
              </w:rPr>
              <w:t>Capital Markets</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L+700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8.00%</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12/29/2020</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12/29/2025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26,061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25,418</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26,061</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Foundation Consumer Brands,</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Personal Products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L+638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7.38%</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2/12/2021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2/12/2027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33,367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32,633</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33,367</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iCIMS,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Software</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L+650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7.50%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9/7/2018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9/12/2024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19,341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19,120</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19,341</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Inszone Mid, LLC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Insurance</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L+575</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6.75%</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9/28/2021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6/30/2026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11,141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11,035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11,086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Ivy Fertility Services,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L+625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7.25%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w w:val="99"/>
              </w:rPr>
              <w:t>12/22/2021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2/25/2026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21,677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21,299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21,298</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Kid Distro Holdings, LLC</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(Distro Kid)</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L+600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9/24/2021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10/1/2027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29,168</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29,148</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Kingsbridge Holdings, LLC(2)</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Multi-Sector Holdings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L+700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8.00%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w w:val="99"/>
              </w:rPr>
              <w:t>12/21/2018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6"/>
              </w:rPr>
              <w:t>12/21/2024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80,000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79,713</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KORE Wireless Group, Inc.(3)</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w w:val="99"/>
              </w:rPr>
              <w:t>Wireless Telecommunication Services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L+550</w:t>
            </w:r>
          </w:p>
        </w:tc>
        <w:tc>
          <w:tcPr>
            <w:tcW w:w="76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5.72%</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w w:val="99"/>
              </w:rPr>
              <w:t>12/21/2018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w w:val="96"/>
              </w:rPr>
              <w:t>12/21/2024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36,470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36,062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36,470</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Logix Holding Company,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Communications Equipment</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L+575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6.75%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9/14/2018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6"/>
              </w:rPr>
              <w:t>12/22/2024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7,400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7,359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Maurices, Incorporated</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Specialty Retail</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L+675</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7.75%</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8/27/2021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6/1/2024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5,135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5,044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5,135</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MMIT Holdings,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IT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L+625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7.25%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9/21/2021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9/15/2027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31,026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30,541</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31,026</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NAC Holdings Corporation</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(Jaguar)</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Insurance</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L+525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7/30/2021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9/28/2024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15,730</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15,844</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One Touch Direct,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Commercial Services &amp; Supplies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P+75</w:t>
            </w:r>
          </w:p>
        </w:tc>
        <w:tc>
          <w:tcPr>
            <w:tcW w:w="760" w:type="dxa"/>
            <w:vAlign w:val="bottom"/>
            <w:gridSpan w:val="2"/>
          </w:tcPr>
          <w:p>
            <w:pPr>
              <w:jc w:val="right"/>
              <w:ind w:right="36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4/3/2020</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9/30/2022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274</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274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PhyNet Dermatology LLC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L+600</w:t>
            </w:r>
            <w:r>
              <w:rPr>
                <w:rFonts w:ascii="Arial" w:cs="Arial" w:eastAsia="Arial" w:hAnsi="Arial"/>
                <w:sz w:val="12"/>
                <w:szCs w:val="12"/>
                <w:color w:val="auto"/>
              </w:rPr>
              <w:t>(17)</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7.00%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9/5/2018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8/16/2024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14,589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14,529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14,589</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w w:val="97"/>
              </w:rPr>
              <w:t>Pinnacle Treatment Centers,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L+575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6.75%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1/22/2020</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6"/>
              </w:rPr>
              <w:t>12/31/2022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11,996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11,953</w:t>
            </w: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11,996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PPT Management Holdings,</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L+800</w:t>
            </w:r>
            <w:r>
              <w:rPr>
                <w:rFonts w:ascii="Arial" w:cs="Arial" w:eastAsia="Arial" w:hAnsi="Arial"/>
                <w:sz w:val="12"/>
                <w:szCs w:val="12"/>
                <w:color w:val="auto"/>
              </w:rPr>
              <w:t>(15)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9/14/2018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12/16/2022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21,086</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18,374</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RQM+ Corp</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Life Sciences Tools &amp; Services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L+575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6.75%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8/20/2021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8/12/2026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16,504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16,349</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16,462</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Stryten Energy LLC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Auto Parts &amp; Equipment</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L+800</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9.00%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8/11/2021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w w:val="96"/>
              </w:rPr>
              <w:t>10/12/2026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26,184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25,676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25,923</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SunMed Group Holdings, LLC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Health Care Equipment &amp; Supplies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L+575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0.75%</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6.50%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6/16/2021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6/16/2028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18,536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18,232</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18,351</w:t>
            </w:r>
          </w:p>
        </w:tc>
        <w:tc>
          <w:tcPr>
            <w:tcW w:w="0" w:type="dxa"/>
            <w:vAlign w:val="bottom"/>
          </w:tcPr>
          <w:p>
            <w:pPr>
              <w:spacing w:after="0"/>
              <w:rPr>
                <w:sz w:val="1"/>
                <w:szCs w:val="1"/>
                <w:color w:val="auto"/>
              </w:rPr>
            </w:pPr>
          </w:p>
        </w:tc>
      </w:tr>
      <w:tr>
        <w:trPr>
          <w:trHeight w:val="129"/>
        </w:trPr>
        <w:tc>
          <w:tcPr>
            <w:tcW w:w="2020" w:type="dxa"/>
            <w:vAlign w:val="bottom"/>
            <w:gridSpan w:val="7"/>
            <w:shd w:val="clear" w:color="auto" w:fill="CCEEFF"/>
          </w:tcPr>
          <w:p>
            <w:pPr>
              <w:spacing w:after="0" w:line="129" w:lineRule="exact"/>
              <w:rPr>
                <w:sz w:val="20"/>
                <w:szCs w:val="20"/>
                <w:color w:val="auto"/>
              </w:rPr>
            </w:pPr>
            <w:r>
              <w:rPr>
                <w:rFonts w:ascii="Arial" w:cs="Arial" w:eastAsia="Arial" w:hAnsi="Arial"/>
                <w:sz w:val="14"/>
                <w:szCs w:val="14"/>
                <w:color w:val="auto"/>
              </w:rPr>
              <w:t>Ultimate Baked Goods Midco</w:t>
            </w:r>
          </w:p>
        </w:tc>
        <w:tc>
          <w:tcPr>
            <w:tcW w:w="2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LLC (Rise Baking)</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Packaged Foods &amp; Meats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L+625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8/12/2021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8/13/2027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19,381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18,920</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18,896</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USR Parent, Inc. (Staples)</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Specialty Retail</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L+884</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9.84%</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6/3/2020</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9/12/2022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3,275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3,275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3,275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4300" w:type="dxa"/>
            <w:vAlign w:val="bottom"/>
            <w:gridSpan w:val="8"/>
            <w:shd w:val="clear" w:color="auto" w:fill="CCEEFF"/>
          </w:tcPr>
          <w:p>
            <w:pPr>
              <w:ind w:left="140"/>
              <w:spacing w:after="0" w:line="148" w:lineRule="exact"/>
              <w:rPr>
                <w:sz w:val="20"/>
                <w:szCs w:val="20"/>
                <w:color w:val="auto"/>
              </w:rPr>
            </w:pPr>
            <w:r>
              <w:rPr>
                <w:rFonts w:ascii="Arial" w:cs="Arial" w:eastAsia="Arial" w:hAnsi="Arial"/>
                <w:sz w:val="14"/>
                <w:szCs w:val="14"/>
                <w:color w:val="auto"/>
              </w:rPr>
              <w:t>Total First Lien Bank Debt/Senior Secured Loans</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0"/>
              </w:rPr>
              <w:t>579,211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w w:val="86"/>
              </w:rPr>
              <w:t>559,571</w:t>
            </w:r>
          </w:p>
        </w:tc>
        <w:tc>
          <w:tcPr>
            <w:tcW w:w="0" w:type="dxa"/>
            <w:vAlign w:val="bottom"/>
          </w:tcPr>
          <w:p>
            <w:pPr>
              <w:spacing w:after="0"/>
              <w:rPr>
                <w:sz w:val="1"/>
                <w:szCs w:val="1"/>
                <w:color w:val="auto"/>
              </w:rPr>
            </w:pPr>
          </w:p>
        </w:tc>
      </w:tr>
      <w:tr>
        <w:trPr>
          <w:trHeight w:val="141"/>
        </w:trPr>
        <w:tc>
          <w:tcPr>
            <w:tcW w:w="2020" w:type="dxa"/>
            <w:vAlign w:val="bottom"/>
            <w:gridSpan w:val="7"/>
          </w:tcPr>
          <w:p>
            <w:pPr>
              <w:spacing w:after="0" w:line="141" w:lineRule="exact"/>
              <w:rPr>
                <w:sz w:val="20"/>
                <w:szCs w:val="20"/>
                <w:color w:val="auto"/>
              </w:rPr>
            </w:pPr>
            <w:r>
              <w:rPr>
                <w:rFonts w:ascii="Arial" w:cs="Arial" w:eastAsia="Arial" w:hAnsi="Arial"/>
                <w:sz w:val="14"/>
                <w:szCs w:val="14"/>
                <w:color w:val="auto"/>
                <w:w w:val="97"/>
              </w:rPr>
              <w:t>Second Lien Asset-Based Senior</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4"/>
                <w:szCs w:val="14"/>
                <w:color w:val="auto"/>
                <w:w w:val="89"/>
              </w:rPr>
              <w:t>Secured Loans</w:t>
            </w:r>
          </w:p>
        </w:tc>
        <w:tc>
          <w:tcPr>
            <w:tcW w:w="880" w:type="dxa"/>
            <w:vAlign w:val="bottom"/>
            <w:tcBorders>
              <w:top w:val="single" w:sz="8" w:color="auto"/>
            </w:tcBorders>
            <w:gridSpan w:val="4"/>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20" w:type="dxa"/>
            <w:vAlign w:val="bottom"/>
            <w:gridSpan w:val="7"/>
            <w:shd w:val="clear" w:color="auto" w:fill="CCEEFF"/>
          </w:tcPr>
          <w:p>
            <w:pPr>
              <w:spacing w:after="0" w:line="123" w:lineRule="exact"/>
              <w:rPr>
                <w:sz w:val="20"/>
                <w:szCs w:val="20"/>
                <w:color w:val="auto"/>
              </w:rPr>
            </w:pPr>
            <w:r>
              <w:rPr>
                <w:rFonts w:ascii="Arial" w:cs="Arial" w:eastAsia="Arial" w:hAnsi="Arial"/>
                <w:sz w:val="14"/>
                <w:szCs w:val="14"/>
                <w:color w:val="auto"/>
              </w:rPr>
              <w:t>ACRES Commercial Mortgage,</w:t>
            </w:r>
          </w:p>
        </w:tc>
        <w:tc>
          <w:tcPr>
            <w:tcW w:w="2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2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Diversified Financial Services</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L+705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8.05%</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12/24/2021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8/21/2028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29,328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29,326</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Varilease Finance,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Multi-Sector Holdings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L+750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8.50%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8/22/2014</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w w:val="96"/>
              </w:rPr>
              <w:t>11/15/2025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29,563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29,467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29,563</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4300" w:type="dxa"/>
            <w:vAlign w:val="bottom"/>
            <w:gridSpan w:val="8"/>
            <w:shd w:val="clear" w:color="auto" w:fill="CCEEFF"/>
          </w:tcPr>
          <w:p>
            <w:pPr>
              <w:ind w:left="140"/>
              <w:spacing w:after="0" w:line="148" w:lineRule="exact"/>
              <w:rPr>
                <w:sz w:val="20"/>
                <w:szCs w:val="20"/>
                <w:color w:val="auto"/>
              </w:rPr>
            </w:pPr>
            <w:r>
              <w:rPr>
                <w:rFonts w:ascii="Arial" w:cs="Arial" w:eastAsia="Arial" w:hAnsi="Arial"/>
                <w:sz w:val="14"/>
                <w:szCs w:val="14"/>
                <w:color w:val="auto"/>
              </w:rPr>
              <w:t>Total Second Lien Asset-Based Senior Secured Loans</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58,795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58,889</w:t>
            </w:r>
          </w:p>
        </w:tc>
        <w:tc>
          <w:tcPr>
            <w:tcW w:w="0" w:type="dxa"/>
            <w:vAlign w:val="bottom"/>
          </w:tcPr>
          <w:p>
            <w:pPr>
              <w:spacing w:after="0"/>
              <w:rPr>
                <w:sz w:val="1"/>
                <w:szCs w:val="1"/>
                <w:color w:val="auto"/>
              </w:rPr>
            </w:pPr>
          </w:p>
        </w:tc>
      </w:tr>
      <w:tr>
        <w:trPr>
          <w:trHeight w:val="141"/>
        </w:trPr>
        <w:tc>
          <w:tcPr>
            <w:tcW w:w="2020" w:type="dxa"/>
            <w:vAlign w:val="bottom"/>
            <w:gridSpan w:val="7"/>
          </w:tcPr>
          <w:p>
            <w:pPr>
              <w:spacing w:after="0" w:line="141" w:lineRule="exact"/>
              <w:rPr>
                <w:sz w:val="20"/>
                <w:szCs w:val="20"/>
                <w:color w:val="auto"/>
              </w:rPr>
            </w:pPr>
            <w:r>
              <w:rPr>
                <w:rFonts w:ascii="Arial" w:cs="Arial" w:eastAsia="Arial" w:hAnsi="Arial"/>
                <w:sz w:val="14"/>
                <w:szCs w:val="14"/>
                <w:color w:val="auto"/>
              </w:rPr>
              <w:t>Second Lien Bank Debt/Senior</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4"/>
                <w:szCs w:val="14"/>
                <w:color w:val="auto"/>
                <w:w w:val="89"/>
              </w:rPr>
              <w:t>Secured Loans</w:t>
            </w:r>
          </w:p>
        </w:tc>
        <w:tc>
          <w:tcPr>
            <w:tcW w:w="780" w:type="dxa"/>
            <w:vAlign w:val="bottom"/>
            <w:tcBorders>
              <w:top w:val="single" w:sz="8" w:color="auto"/>
            </w:tcBorders>
            <w:gridSpan w:val="3"/>
          </w:tcPr>
          <w:p>
            <w:pPr>
              <w:spacing w:after="0"/>
              <w:rPr>
                <w:sz w:val="11"/>
                <w:szCs w:val="11"/>
                <w:color w:val="auto"/>
              </w:rPr>
            </w:pPr>
          </w:p>
        </w:tc>
        <w:tc>
          <w:tcPr>
            <w:tcW w:w="240" w:type="dxa"/>
            <w:vAlign w:val="bottom"/>
            <w:gridSpan w:val="2"/>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20" w:type="dxa"/>
            <w:vAlign w:val="bottom"/>
            <w:gridSpan w:val="7"/>
            <w:shd w:val="clear" w:color="auto" w:fill="CCEEFF"/>
          </w:tcPr>
          <w:p>
            <w:pPr>
              <w:spacing w:after="0" w:line="141" w:lineRule="exact"/>
              <w:rPr>
                <w:sz w:val="20"/>
                <w:szCs w:val="20"/>
                <w:color w:val="auto"/>
              </w:rPr>
            </w:pPr>
            <w:r>
              <w:rPr>
                <w:rFonts w:ascii="Arial" w:cs="Arial" w:eastAsia="Arial" w:hAnsi="Arial"/>
                <w:sz w:val="14"/>
                <w:szCs w:val="14"/>
                <w:color w:val="auto"/>
              </w:rPr>
              <w:t>PhyMed Management LLC</w:t>
            </w:r>
          </w:p>
        </w:tc>
        <w:tc>
          <w:tcPr>
            <w:tcW w:w="242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w w:val="99"/>
              </w:rPr>
              <w:t>L+1500</w:t>
            </w:r>
            <w:r>
              <w:rPr>
                <w:rFonts w:ascii="Arial" w:cs="Arial" w:eastAsia="Arial" w:hAnsi="Arial"/>
                <w:sz w:val="12"/>
                <w:szCs w:val="12"/>
                <w:color w:val="auto"/>
                <w:w w:val="99"/>
              </w:rPr>
              <w:t>(16)</w:t>
            </w:r>
          </w:p>
        </w:tc>
        <w:tc>
          <w:tcPr>
            <w:tcW w:w="7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1.00%</w:t>
            </w:r>
          </w:p>
        </w:tc>
        <w:tc>
          <w:tcPr>
            <w:tcW w:w="7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16.00%</w:t>
            </w:r>
          </w:p>
        </w:tc>
        <w:tc>
          <w:tcPr>
            <w:tcW w:w="9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w w:val="99"/>
              </w:rPr>
              <w:t>12/18/2015</w:t>
            </w:r>
          </w:p>
        </w:tc>
        <w:tc>
          <w:tcPr>
            <w:tcW w:w="8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9/30/2022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37,819</w:t>
            </w: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37,757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36,874</w:t>
            </w:r>
          </w:p>
        </w:tc>
        <w:tc>
          <w:tcPr>
            <w:tcW w:w="0" w:type="dxa"/>
            <w:vAlign w:val="bottom"/>
          </w:tcPr>
          <w:p>
            <w:pPr>
              <w:spacing w:after="0"/>
              <w:rPr>
                <w:sz w:val="1"/>
                <w:szCs w:val="1"/>
                <w:color w:val="auto"/>
              </w:rPr>
            </w:pPr>
          </w:p>
        </w:tc>
      </w:tr>
      <w:tr>
        <w:trPr>
          <w:trHeight w:val="155"/>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Rug Doctor LLC (2)</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Diversified Consumer Services</w:t>
            </w:r>
          </w:p>
        </w:tc>
        <w:tc>
          <w:tcPr>
            <w:tcW w:w="88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(11)</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1.50%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11.25%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w w:val="99"/>
              </w:rPr>
              <w:t>12/23/2013</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5/16/2023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11,828</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11,819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color w:val="auto"/>
              </w:rPr>
              <w:t>11,829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4300" w:type="dxa"/>
            <w:vAlign w:val="bottom"/>
            <w:gridSpan w:val="8"/>
            <w:shd w:val="clear" w:color="auto" w:fill="CCEEFF"/>
          </w:tcPr>
          <w:p>
            <w:pPr>
              <w:ind w:left="140"/>
              <w:spacing w:after="0" w:line="148" w:lineRule="exact"/>
              <w:rPr>
                <w:sz w:val="20"/>
                <w:szCs w:val="20"/>
                <w:color w:val="auto"/>
              </w:rPr>
            </w:pPr>
            <w:r>
              <w:rPr>
                <w:rFonts w:ascii="Arial" w:cs="Arial" w:eastAsia="Arial" w:hAnsi="Arial"/>
                <w:sz w:val="14"/>
                <w:szCs w:val="14"/>
                <w:color w:val="auto"/>
              </w:rPr>
              <w:t>Total Second Lien Bank Debt/Senior Secured Loans</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49,576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48,703</w:t>
            </w:r>
          </w:p>
        </w:tc>
        <w:tc>
          <w:tcPr>
            <w:tcW w:w="0" w:type="dxa"/>
            <w:vAlign w:val="bottom"/>
          </w:tcPr>
          <w:p>
            <w:pPr>
              <w:spacing w:after="0"/>
              <w:rPr>
                <w:sz w:val="1"/>
                <w:szCs w:val="1"/>
                <w:color w:val="auto"/>
              </w:rPr>
            </w:pPr>
          </w:p>
        </w:tc>
      </w:tr>
      <w:tr>
        <w:trPr>
          <w:trHeight w:val="141"/>
        </w:trPr>
        <w:tc>
          <w:tcPr>
            <w:tcW w:w="2020" w:type="dxa"/>
            <w:vAlign w:val="bottom"/>
            <w:gridSpan w:val="7"/>
          </w:tcPr>
          <w:p>
            <w:pPr>
              <w:spacing w:after="0" w:line="141" w:lineRule="exact"/>
              <w:rPr>
                <w:sz w:val="20"/>
                <w:szCs w:val="20"/>
                <w:color w:val="auto"/>
              </w:rPr>
            </w:pPr>
            <w:r>
              <w:rPr>
                <w:rFonts w:ascii="Arial" w:cs="Arial" w:eastAsia="Arial" w:hAnsi="Arial"/>
                <w:sz w:val="14"/>
                <w:szCs w:val="14"/>
                <w:color w:val="auto"/>
              </w:rPr>
              <w:t>First Lien Life Science Senior</w:t>
            </w: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line="128" w:lineRule="exact"/>
              <w:rPr>
                <w:sz w:val="20"/>
                <w:szCs w:val="20"/>
                <w:color w:val="auto"/>
              </w:rPr>
            </w:pPr>
            <w:r>
              <w:rPr>
                <w:rFonts w:ascii="Arial" w:cs="Arial" w:eastAsia="Arial" w:hAnsi="Arial"/>
                <w:sz w:val="14"/>
                <w:szCs w:val="14"/>
                <w:color w:val="auto"/>
                <w:w w:val="89"/>
              </w:rPr>
              <w:t>Secured Loans</w:t>
            </w:r>
          </w:p>
        </w:tc>
        <w:tc>
          <w:tcPr>
            <w:tcW w:w="720" w:type="dxa"/>
            <w:vAlign w:val="bottom"/>
            <w:tcBorders>
              <w:top w:val="single" w:sz="8" w:color="auto"/>
            </w:tcBorders>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20" w:type="dxa"/>
            <w:vAlign w:val="bottom"/>
            <w:gridSpan w:val="7"/>
            <w:shd w:val="clear" w:color="auto" w:fill="CCEEFF"/>
          </w:tcPr>
          <w:p>
            <w:pPr>
              <w:spacing w:after="0" w:line="141" w:lineRule="exact"/>
              <w:rPr>
                <w:sz w:val="20"/>
                <w:szCs w:val="20"/>
                <w:color w:val="auto"/>
              </w:rPr>
            </w:pPr>
            <w:r>
              <w:rPr>
                <w:rFonts w:ascii="Arial" w:cs="Arial" w:eastAsia="Arial" w:hAnsi="Arial"/>
                <w:sz w:val="14"/>
                <w:szCs w:val="14"/>
                <w:color w:val="auto"/>
              </w:rPr>
              <w:t>Alimera Sciences, Inc.</w:t>
            </w:r>
          </w:p>
        </w:tc>
        <w:tc>
          <w:tcPr>
            <w:tcW w:w="242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Pharmaceuticals</w:t>
            </w:r>
          </w:p>
        </w:tc>
        <w:tc>
          <w:tcPr>
            <w:tcW w:w="88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4"/>
                <w:szCs w:val="14"/>
                <w:color w:val="auto"/>
              </w:rPr>
              <w:t>L+765</w:t>
            </w:r>
          </w:p>
        </w:tc>
        <w:tc>
          <w:tcPr>
            <w:tcW w:w="7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1.78%</w:t>
            </w:r>
          </w:p>
        </w:tc>
        <w:tc>
          <w:tcPr>
            <w:tcW w:w="7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9.43%</w:t>
            </w:r>
          </w:p>
        </w:tc>
        <w:tc>
          <w:tcPr>
            <w:tcW w:w="90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4"/>
                <w:szCs w:val="14"/>
                <w:color w:val="auto"/>
                <w:w w:val="99"/>
              </w:rPr>
              <w:t>12/31/2019</w:t>
            </w:r>
          </w:p>
        </w:tc>
        <w:tc>
          <w:tcPr>
            <w:tcW w:w="8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7/1/2024</w:t>
            </w:r>
          </w:p>
        </w:tc>
        <w:tc>
          <w:tcPr>
            <w:tcW w:w="32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20,074</w:t>
            </w:r>
          </w:p>
        </w:tc>
        <w:tc>
          <w:tcPr>
            <w:tcW w:w="1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20,512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20,475</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Arcutis Biotherapeutics, Inc.(3)</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Pharamceuticals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L+745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0.10%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7.55%</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w w:val="99"/>
              </w:rPr>
              <w:t>12/22/2021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1/1/2027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21,735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21,645</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21,637</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Ardelyx, Inc.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Pharmaceuticals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L+745</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0.25%</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7.70%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5/10/2018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11/1/2022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14,972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16,198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Axcella Health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Pharmaceuticals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L+860</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0.10%</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8.70%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9/2/2021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9,278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9,318</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9,302</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BridgeBio Pharma, Inc.(3)</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Biotechnology</w:t>
            </w:r>
          </w:p>
        </w:tc>
        <w:tc>
          <w:tcPr>
            <w:tcW w:w="880" w:type="dxa"/>
            <w:vAlign w:val="bottom"/>
            <w:gridSpan w:val="2"/>
            <w:shd w:val="clear" w:color="auto" w:fill="CCEEFF"/>
          </w:tcPr>
          <w:p>
            <w:pPr>
              <w:jc w:val="right"/>
              <w:ind w:right="440"/>
              <w:spacing w:after="0" w:line="148"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9.00%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w w:val="99"/>
              </w:rPr>
              <w:t>11/17/2021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w w:val="96"/>
              </w:rPr>
              <w:t>11/17/2026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34,574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34,082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34,055</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Centrexion Therapeutics,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Pharmaceuticals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L+725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2.45%</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9.70%</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6/28/2019</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1/1/2024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16,400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16,693</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16,728</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Cerapedics, Inc.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Health Care Equipment &amp; Supplies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L+695</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2.50%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9.45%</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3/22/2019</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3/1/2025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26,861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27,518</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27,465</w:t>
            </w:r>
          </w:p>
        </w:tc>
        <w:tc>
          <w:tcPr>
            <w:tcW w:w="0" w:type="dxa"/>
            <w:vAlign w:val="bottom"/>
          </w:tcPr>
          <w:p>
            <w:pPr>
              <w:spacing w:after="0"/>
              <w:rPr>
                <w:sz w:val="1"/>
                <w:szCs w:val="1"/>
                <w:color w:val="auto"/>
              </w:rPr>
            </w:pPr>
          </w:p>
        </w:tc>
      </w:tr>
      <w:tr>
        <w:trPr>
          <w:trHeight w:val="129"/>
        </w:trPr>
        <w:tc>
          <w:tcPr>
            <w:tcW w:w="2020" w:type="dxa"/>
            <w:vAlign w:val="bottom"/>
            <w:gridSpan w:val="7"/>
          </w:tcPr>
          <w:p>
            <w:pPr>
              <w:spacing w:after="0" w:line="129" w:lineRule="exact"/>
              <w:rPr>
                <w:sz w:val="20"/>
                <w:szCs w:val="20"/>
                <w:color w:val="auto"/>
              </w:rPr>
            </w:pPr>
            <w:r>
              <w:rPr>
                <w:rFonts w:ascii="Arial" w:cs="Arial" w:eastAsia="Arial" w:hAnsi="Arial"/>
                <w:sz w:val="14"/>
                <w:szCs w:val="14"/>
                <w:color w:val="auto"/>
              </w:rPr>
              <w:t>Delphinus Medical</w:t>
            </w: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20" w:type="dxa"/>
            <w:vAlign w:val="bottom"/>
            <w:gridSpan w:val="7"/>
          </w:tcPr>
          <w:p>
            <w:pPr>
              <w:ind w:left="140"/>
              <w:spacing w:after="0"/>
              <w:rPr>
                <w:sz w:val="20"/>
                <w:szCs w:val="20"/>
                <w:color w:val="auto"/>
              </w:rPr>
            </w:pPr>
            <w:r>
              <w:rPr>
                <w:rFonts w:ascii="Arial" w:cs="Arial" w:eastAsia="Arial" w:hAnsi="Arial"/>
                <w:sz w:val="14"/>
                <w:szCs w:val="14"/>
                <w:color w:val="auto"/>
              </w:rPr>
              <w:t>Technologies, Inc.</w:t>
            </w:r>
          </w:p>
        </w:tc>
        <w:tc>
          <w:tcPr>
            <w:tcW w:w="2420" w:type="dxa"/>
            <w:vAlign w:val="bottom"/>
            <w:gridSpan w:val="2"/>
          </w:tcPr>
          <w:p>
            <w:pPr>
              <w:ind w:left="40"/>
              <w:spacing w:after="0"/>
              <w:rPr>
                <w:sz w:val="20"/>
                <w:szCs w:val="20"/>
                <w:color w:val="auto"/>
              </w:rPr>
            </w:pPr>
            <w:r>
              <w:rPr>
                <w:rFonts w:ascii="Arial" w:cs="Arial" w:eastAsia="Arial" w:hAnsi="Arial"/>
                <w:sz w:val="14"/>
                <w:szCs w:val="14"/>
                <w:color w:val="auto"/>
              </w:rPr>
              <w:t>Health Care Equipment &amp; Supplies</w:t>
            </w:r>
          </w:p>
        </w:tc>
        <w:tc>
          <w:tcPr>
            <w:tcW w:w="880" w:type="dxa"/>
            <w:vAlign w:val="bottom"/>
            <w:gridSpan w:val="2"/>
          </w:tcPr>
          <w:p>
            <w:pPr>
              <w:jc w:val="right"/>
              <w:ind w:right="380"/>
              <w:spacing w:after="0"/>
              <w:rPr>
                <w:sz w:val="20"/>
                <w:szCs w:val="20"/>
                <w:color w:val="auto"/>
              </w:rPr>
            </w:pPr>
            <w:r>
              <w:rPr>
                <w:rFonts w:ascii="Arial" w:cs="Arial" w:eastAsia="Arial" w:hAnsi="Arial"/>
                <w:sz w:val="14"/>
                <w:szCs w:val="14"/>
                <w:color w:val="auto"/>
              </w:rPr>
              <w:t>L+850</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8/18/2017</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6/1/2022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1,414</w:t>
            </w:r>
          </w:p>
        </w:tc>
        <w:tc>
          <w:tcPr>
            <w:tcW w:w="8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1,405</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Glooko, Inc.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Health Care Technology</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L+790</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0.10%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8.00%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9/30/2021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10/1/2026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8,364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8,339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8,322</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Neuronetics,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Health Care Equipment &amp; Supplies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L+765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1.66%</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9.31%</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3/2/2020</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2/28/2025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15,613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15,874</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15,878</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OmniGuide Holdings, Inc. (13)</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Health Care Equipment &amp; Supplies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L+1405</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0.10%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14.15%</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7/30/2018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7/1/2023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18,879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17,845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18,958</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Rezolute,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Biotechnology</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L+875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0.12%</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8.87%</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4/14/2021</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4/1/2026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5,675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5,663</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5,661</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Rubius Therapeutics, Inc. (3)</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Pharmaceuticals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L+550</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2.10%</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7.60%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w w:val="99"/>
              </w:rPr>
              <w:t>12/21/2018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6/1/2026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40,291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41,103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41,097</w:t>
            </w:r>
          </w:p>
        </w:tc>
        <w:tc>
          <w:tcPr>
            <w:tcW w:w="0" w:type="dxa"/>
            <w:vAlign w:val="bottom"/>
          </w:tcPr>
          <w:p>
            <w:pPr>
              <w:spacing w:after="0"/>
              <w:rPr>
                <w:sz w:val="1"/>
                <w:szCs w:val="1"/>
                <w:color w:val="auto"/>
              </w:rPr>
            </w:pPr>
          </w:p>
        </w:tc>
      </w:tr>
      <w:tr>
        <w:trPr>
          <w:trHeight w:val="148"/>
        </w:trPr>
        <w:tc>
          <w:tcPr>
            <w:tcW w:w="2020" w:type="dxa"/>
            <w:vAlign w:val="bottom"/>
            <w:gridSpan w:val="7"/>
          </w:tcPr>
          <w:p>
            <w:pPr>
              <w:spacing w:after="0" w:line="148" w:lineRule="exact"/>
              <w:rPr>
                <w:sz w:val="20"/>
                <w:szCs w:val="20"/>
                <w:color w:val="auto"/>
              </w:rPr>
            </w:pPr>
            <w:r>
              <w:rPr>
                <w:rFonts w:ascii="Arial" w:cs="Arial" w:eastAsia="Arial" w:hAnsi="Arial"/>
                <w:sz w:val="14"/>
                <w:szCs w:val="14"/>
                <w:color w:val="auto"/>
              </w:rPr>
              <w:t>scPharmaceuticals, Inc.</w:t>
            </w:r>
          </w:p>
        </w:tc>
        <w:tc>
          <w:tcPr>
            <w:tcW w:w="242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Pharmaceuticals</w:t>
            </w:r>
          </w:p>
        </w:tc>
        <w:tc>
          <w:tcPr>
            <w:tcW w:w="880" w:type="dxa"/>
            <w:vAlign w:val="bottom"/>
            <w:gridSpan w:val="2"/>
          </w:tcPr>
          <w:p>
            <w:pPr>
              <w:jc w:val="right"/>
              <w:ind w:right="380"/>
              <w:spacing w:after="0" w:line="148" w:lineRule="exact"/>
              <w:rPr>
                <w:sz w:val="20"/>
                <w:szCs w:val="20"/>
                <w:color w:val="auto"/>
              </w:rPr>
            </w:pPr>
            <w:r>
              <w:rPr>
                <w:rFonts w:ascii="Arial" w:cs="Arial" w:eastAsia="Arial" w:hAnsi="Arial"/>
                <w:sz w:val="14"/>
                <w:szCs w:val="14"/>
                <w:color w:val="auto"/>
              </w:rPr>
              <w:t>L+795</w:t>
            </w:r>
          </w:p>
        </w:tc>
        <w:tc>
          <w:tcPr>
            <w:tcW w:w="76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2.23%</w:t>
            </w:r>
          </w:p>
        </w:tc>
        <w:tc>
          <w:tcPr>
            <w:tcW w:w="7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10.18%</w:t>
            </w:r>
          </w:p>
        </w:tc>
        <w:tc>
          <w:tcPr>
            <w:tcW w:w="90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9/17/2019</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9/17/2023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4,098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4,165</w:t>
            </w:r>
          </w:p>
        </w:tc>
        <w:tc>
          <w:tcPr>
            <w:tcW w:w="80" w:type="dxa"/>
            <w:vAlign w:val="bottom"/>
          </w:tcPr>
          <w:p>
            <w:pPr>
              <w:spacing w:after="0"/>
              <w:rPr>
                <w:sz w:val="12"/>
                <w:szCs w:val="12"/>
                <w:color w:val="auto"/>
              </w:rPr>
            </w:pPr>
          </w:p>
        </w:tc>
        <w:tc>
          <w:tcPr>
            <w:tcW w:w="50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4,160</w:t>
            </w:r>
          </w:p>
        </w:tc>
        <w:tc>
          <w:tcPr>
            <w:tcW w:w="0" w:type="dxa"/>
            <w:vAlign w:val="bottom"/>
          </w:tcPr>
          <w:p>
            <w:pPr>
              <w:spacing w:after="0"/>
              <w:rPr>
                <w:sz w:val="1"/>
                <w:szCs w:val="1"/>
                <w:color w:val="auto"/>
              </w:rPr>
            </w:pPr>
          </w:p>
        </w:tc>
      </w:tr>
      <w:tr>
        <w:trPr>
          <w:trHeight w:val="148"/>
        </w:trPr>
        <w:tc>
          <w:tcPr>
            <w:tcW w:w="2020" w:type="dxa"/>
            <w:vAlign w:val="bottom"/>
            <w:gridSpan w:val="7"/>
            <w:shd w:val="clear" w:color="auto" w:fill="CCEEFF"/>
          </w:tcPr>
          <w:p>
            <w:pPr>
              <w:spacing w:after="0" w:line="148" w:lineRule="exact"/>
              <w:rPr>
                <w:sz w:val="20"/>
                <w:szCs w:val="20"/>
                <w:color w:val="auto"/>
              </w:rPr>
            </w:pPr>
            <w:r>
              <w:rPr>
                <w:rFonts w:ascii="Arial" w:cs="Arial" w:eastAsia="Arial" w:hAnsi="Arial"/>
                <w:sz w:val="14"/>
                <w:szCs w:val="14"/>
                <w:color w:val="auto"/>
              </w:rPr>
              <w:t>SOC Telemed, Inc.</w:t>
            </w:r>
          </w:p>
        </w:tc>
        <w:tc>
          <w:tcPr>
            <w:tcW w:w="242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Health Care Providers &amp; Services</w:t>
            </w:r>
          </w:p>
        </w:tc>
        <w:tc>
          <w:tcPr>
            <w:tcW w:w="88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color w:val="auto"/>
              </w:rPr>
              <w:t>L+747</w:t>
            </w:r>
          </w:p>
        </w:tc>
        <w:tc>
          <w:tcPr>
            <w:tcW w:w="7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0.13%</w:t>
            </w:r>
          </w:p>
        </w:tc>
        <w:tc>
          <w:tcPr>
            <w:tcW w:w="7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7.60%</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3/26/2021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4/1/2026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31,137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31,211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31,214</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4300" w:type="dxa"/>
            <w:vAlign w:val="bottom"/>
            <w:gridSpan w:val="8"/>
          </w:tcPr>
          <w:p>
            <w:pPr>
              <w:ind w:left="140"/>
              <w:spacing w:after="0" w:line="155" w:lineRule="exact"/>
              <w:rPr>
                <w:sz w:val="20"/>
                <w:szCs w:val="20"/>
                <w:color w:val="auto"/>
              </w:rPr>
            </w:pPr>
            <w:r>
              <w:rPr>
                <w:rFonts w:ascii="Arial" w:cs="Arial" w:eastAsia="Arial" w:hAnsi="Arial"/>
                <w:sz w:val="14"/>
                <w:szCs w:val="14"/>
                <w:color w:val="auto"/>
              </w:rPr>
              <w:t>Total First Lien Life Science Senior Secured Loans</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271,580</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272,527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0" w:type="dxa"/>
            <w:vAlign w:val="bottom"/>
            <w:shd w:val="clear" w:color="auto" w:fill="CCEEFF"/>
          </w:tcPr>
          <w:p>
            <w:pPr>
              <w:spacing w:after="0"/>
              <w:rPr>
                <w:sz w:val="12"/>
                <w:szCs w:val="12"/>
                <w:color w:val="auto"/>
              </w:rPr>
            </w:pPr>
          </w:p>
        </w:tc>
        <w:tc>
          <w:tcPr>
            <w:tcW w:w="4300" w:type="dxa"/>
            <w:vAlign w:val="bottom"/>
            <w:gridSpan w:val="8"/>
            <w:shd w:val="clear" w:color="auto" w:fill="CCEEFF"/>
          </w:tcPr>
          <w:p>
            <w:pPr>
              <w:ind w:left="440"/>
              <w:spacing w:after="0" w:line="148" w:lineRule="exact"/>
              <w:rPr>
                <w:sz w:val="20"/>
                <w:szCs w:val="20"/>
                <w:color w:val="auto"/>
              </w:rPr>
            </w:pPr>
            <w:r>
              <w:rPr>
                <w:rFonts w:ascii="Arial" w:cs="Arial" w:eastAsia="Arial" w:hAnsi="Arial"/>
                <w:sz w:val="14"/>
                <w:szCs w:val="14"/>
                <w:b w:val="1"/>
                <w:bCs w:val="1"/>
                <w:color w:val="auto"/>
              </w:rPr>
              <w:t>Total Senior Secured Loans</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u w:val="single" w:color="auto"/>
                <w:color w:val="auto"/>
                <w:w w:val="76"/>
              </w:rPr>
              <w:t>$</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b w:val="1"/>
                <w:bCs w:val="1"/>
                <w:color w:val="auto"/>
                <w:w w:val="90"/>
              </w:rPr>
              <w:t>959,162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b w:val="1"/>
                <w:bCs w:val="1"/>
                <w:color w:val="auto"/>
                <w:w w:val="86"/>
              </w:rPr>
              <w:t>939,690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00"/>
          </w:cols>
          <w:pgMar w:left="320" w:top="458" w:right="479" w:bottom="1440" w:gutter="0" w:footer="0" w:header="0"/>
        </w:sectPr>
      </w:pP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00"/>
          </w:cols>
          <w:pgMar w:left="320" w:top="458"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Maturity</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Par Amount</w:t>
            </w:r>
          </w:p>
        </w:tc>
        <w:tc>
          <w:tcPr>
            <w:tcW w:w="8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7"/>
        </w:trPr>
        <w:tc>
          <w:tcPr>
            <w:tcW w:w="2900" w:type="dxa"/>
            <w:vAlign w:val="bottom"/>
            <w:gridSpan w:val="3"/>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104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7"/>
              </w:rPr>
              <w:t>Rate</w:t>
            </w:r>
            <w:r>
              <w:rPr>
                <w:rFonts w:ascii="Arial" w:cs="Arial" w:eastAsia="Arial" w:hAnsi="Arial"/>
                <w:sz w:val="12"/>
                <w:szCs w:val="12"/>
                <w:b w:val="1"/>
                <w:bCs w:val="1"/>
                <w:color w:val="auto"/>
                <w:w w:val="97"/>
              </w:rPr>
              <w:t>(1)</w:t>
            </w:r>
          </w:p>
        </w:tc>
        <w:tc>
          <w:tcPr>
            <w:tcW w:w="9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2"/>
              </w:rPr>
              <w:t>Date</w:t>
            </w:r>
          </w:p>
        </w:tc>
        <w:tc>
          <w:tcPr>
            <w:tcW w:w="158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2"/>
              </w:rPr>
              <w:t>Date</w:t>
            </w:r>
          </w:p>
        </w:tc>
        <w:tc>
          <w:tcPr>
            <w:tcW w:w="10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5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880" w:type="dxa"/>
            <w:vAlign w:val="bottom"/>
            <w:gridSpan w:val="2"/>
            <w:shd w:val="clear" w:color="auto" w:fill="CCEEFF"/>
          </w:tcPr>
          <w:p>
            <w:pPr>
              <w:spacing w:after="0" w:line="121" w:lineRule="exact"/>
              <w:rPr>
                <w:sz w:val="20"/>
                <w:szCs w:val="20"/>
                <w:color w:val="auto"/>
              </w:rPr>
            </w:pPr>
            <w:r>
              <w:rPr>
                <w:rFonts w:ascii="Arial" w:cs="Arial" w:eastAsia="Arial" w:hAnsi="Arial"/>
                <w:sz w:val="14"/>
                <w:szCs w:val="14"/>
                <w:b w:val="1"/>
                <w:bCs w:val="1"/>
                <w:color w:val="auto"/>
              </w:rPr>
              <w:t>Equipment Financing — 32.5%</w:t>
            </w:r>
          </w:p>
        </w:tc>
        <w:tc>
          <w:tcPr>
            <w:tcW w:w="1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Aero Operating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8.47-9.64%</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2/12/2021</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3/1/2025-12/1/2026</w:t>
            </w:r>
          </w:p>
        </w:tc>
        <w:tc>
          <w:tcPr>
            <w:tcW w:w="240" w:type="dxa"/>
            <w:vAlign w:val="bottom"/>
          </w:tcPr>
          <w:p>
            <w:pPr>
              <w:spacing w:after="0"/>
              <w:rPr>
                <w:sz w:val="12"/>
                <w:szCs w:val="12"/>
                <w:color w:val="auto"/>
              </w:rPr>
            </w:pPr>
          </w:p>
        </w:tc>
        <w:tc>
          <w:tcPr>
            <w:tcW w:w="2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3,103</w:t>
            </w:r>
          </w:p>
        </w:tc>
        <w:tc>
          <w:tcPr>
            <w:tcW w:w="8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3,100</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Air Methods Corporation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Airlines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7.08-7.13%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11/3/2021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11/3/2026-11/23/2026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4,063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4,145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AmeraMex International,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3/29/2019</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3/28/2022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3,149</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3,148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Blackhawk Mining,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Oil, Gas &amp; Consumable Fuels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10.97-11.16%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2/16/2018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3/1/2022-11/1/2022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1,642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1,615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Boart Longyear Company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Metals &amp; Mining</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3"/>
              </w:rPr>
              <w:t>9.06-10.44%</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5/28/2020</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7/1/2024-1/1/2026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5,374</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5,374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Capital City Jet Center,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Airlines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4/4/2018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10/4/2023-6/22/26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3,102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3,102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Champion Air,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Airlines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3/19/2018</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1/1/2023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1,685</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1,685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Clubcorp Holdings,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Hotels, Restaurants &amp; Leisure</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8.87-9.41%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5/27/2021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6/1/2025-1/1/2027</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4,326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4,326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4,326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Dongwon Autopart Technology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Auto Components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7.96%</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2/2/2021</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1/1/2026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2,347</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2,382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2,347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EasyPak,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Containers &amp; Packaging</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9.01%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1/6/2021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1/1/2024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616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616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616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gridSpan w:val="2"/>
          </w:tcPr>
          <w:p>
            <w:pPr>
              <w:spacing w:after="0" w:line="129" w:lineRule="exact"/>
              <w:rPr>
                <w:sz w:val="20"/>
                <w:szCs w:val="20"/>
                <w:color w:val="auto"/>
              </w:rPr>
            </w:pPr>
            <w:r>
              <w:rPr>
                <w:rFonts w:ascii="Arial" w:cs="Arial" w:eastAsia="Arial" w:hAnsi="Arial"/>
                <w:sz w:val="14"/>
                <w:szCs w:val="14"/>
                <w:color w:val="auto"/>
              </w:rPr>
              <w:t>Environmental Protection &amp; Improvement</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Company, LLC (10)</w:t>
            </w:r>
          </w:p>
        </w:tc>
        <w:tc>
          <w:tcPr>
            <w:tcW w:w="2040" w:type="dxa"/>
            <w:vAlign w:val="bottom"/>
            <w:gridSpan w:val="2"/>
          </w:tcPr>
          <w:p>
            <w:pPr>
              <w:spacing w:after="0"/>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8.25%</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9/30/2020</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10/1/2027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5,921</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5,959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5,921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Equipment Operating Leases, LLC (2)(12)</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7.53-8.37%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4/27/2018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8/1/2022-4/27/2025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19,671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19,671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18,939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First American Commercial Bancorp,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Diversified Financial Services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7.50%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10/28/2021</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11/1/2026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2,487</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2,492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2,487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First National Capital,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Diversified Financial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9.00%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11/5/2021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8/1/2026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8,681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8,681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8,681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Freightsol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1"/>
              </w:rPr>
              <w:t>12.51-12.89%</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4/9/2019</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11/1/2023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1,364</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1,381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Garda CL Technical Services,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8.30-8.77%</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3/22/2018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6/5/2023-10/5/2023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1,245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1,245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Georgia Jet,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Airlines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8.00%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12/4/2017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1/4/2024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795</w:t>
            </w: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795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795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GMT Corporation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Machinery</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10.71%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w w:val="99"/>
              </w:rPr>
              <w:t>10/23/2018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10/1/2025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5,476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5,484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Haljoe Coaches USA,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8.53%</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7/1/2024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1,061</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1,061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915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Hawkeye Contracting Company,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Construction &amp; Engineering</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10.50%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10/8/2021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11/1/2025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1,252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1,252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HTI Logistics Corporation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9.69-9.94%</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11/15/2018</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5/1/2024-9/1/2025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404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International Automotive Components Group,</w:t>
            </w:r>
          </w:p>
        </w:tc>
        <w:tc>
          <w:tcPr>
            <w:tcW w:w="1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North America, Inc. (10)</w:t>
            </w:r>
          </w:p>
        </w:tc>
        <w:tc>
          <w:tcPr>
            <w:tcW w:w="2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Auto Components</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7.95%</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6/23/2021</w:t>
            </w: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6/23/2025</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8,184</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8,250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Kool Pak,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8.58%</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2/5/2018</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3/1/2024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345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345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Loyer Capital LLC (2)(12)</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Multi-Sector Holdings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8.73-11.52%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5/16/2019</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5/16/24-9/25/24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11,000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10,725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Lux Credit Consultants,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8.28-9.65%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6/17/2021</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4"/>
              </w:rPr>
              <w:t>12/1/2024-12/1/2025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9,343</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9,343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9,343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Lux Vending,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Consumer Finance</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12.46-13.26%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8/20/2021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8/20/2024-10/1/2024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2,526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2,583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2,526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Mountain Air Helicopters,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2/28/2025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479</w:t>
            </w: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476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479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Rane Light Metal Castings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Machinery</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10.00%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6/1/2020</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7/1/2024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253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Rango,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9.33-9.79%</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9/24/2019</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4/1/2023-11/1/2024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3,615</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3,656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3,547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Rossco Crane &amp; Rigging,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11.53%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8/25/2017</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9/1/2022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126</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Royal Coach Lines, Inc.(10)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9.56%</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11/21/2019</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8/1/2025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1,041</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1,041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950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Royal Express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0"/>
              </w:rPr>
              <w:t>9.53%</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1/17/2019</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2/1/2024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683</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690</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Sidelines Tree Service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Diversified Consumer Services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2"/>
              </w:rPr>
              <w:t>10.25%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10/1/2022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South Texas Oilfield Solutions,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Energy Equipment &amp;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12.52-13.76%</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3/29/2018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9/1/2022-7/1/2023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1,363</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1,363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ST Coaches,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4"/>
              </w:rPr>
              <w:t>8.22-8.58%</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4"/>
              </w:rPr>
              <w:t>10/1/2022-1/25/2025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1,951</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1,951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1,839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Stafford Logistics,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12.62%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9/11/2019</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2/15/2026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7,094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7,094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7,094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Star Coaches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8.42%</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3/9/2018</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4/1/2025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3,401</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3,401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2,916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Sturgeon Services International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Energy Equipment &amp;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18.38%</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2/28/2022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132</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Superior Transportation,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1"/>
              </w:rPr>
              <w:t>10.22-10.62%</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1/1/2026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4,578</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4,578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Tailwinds,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Air Freight &amp; Logistics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8.50-9.00%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7/26/2019</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8/1/2024-10/16/2025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2,267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2,267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80" w:type="dxa"/>
            <w:vAlign w:val="bottom"/>
            <w:gridSpan w:val="2"/>
          </w:tcPr>
          <w:p>
            <w:pPr>
              <w:spacing w:after="0" w:line="129" w:lineRule="exact"/>
              <w:rPr>
                <w:sz w:val="20"/>
                <w:szCs w:val="20"/>
                <w:color w:val="auto"/>
              </w:rPr>
            </w:pPr>
            <w:r>
              <w:rPr>
                <w:rFonts w:ascii="Arial" w:cs="Arial" w:eastAsia="Arial" w:hAnsi="Arial"/>
                <w:sz w:val="14"/>
                <w:szCs w:val="14"/>
                <w:color w:val="auto"/>
              </w:rPr>
              <w:t>The Smedley Company &amp; Smedley Services,</w:t>
            </w: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Inc. (10)..</w:t>
            </w: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10.21-15.36%</w:t>
            </w: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7/31/2017</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10/29/2023-2/10/2024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3,798</w:t>
            </w:r>
          </w:p>
        </w:tc>
        <w:tc>
          <w:tcPr>
            <w:tcW w:w="8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3,800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3,536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Trinity Equipment Rentals, Inc.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7.94-8.75%</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10/8/2021</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11/1/2024-12/1/2026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777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777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777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Trolleys, Inc.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9.99%</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7/18/2018</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1"/>
              </w:rPr>
              <w:t>8/1/2022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1,573</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1,573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1,540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Up Trucking Services,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Road &amp; Rail</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2"/>
              </w:rPr>
              <w:t>11.21%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3/23/2018</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8/1/2024</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705</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Warrior Crane Services, LLC (10)</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w w:val="99"/>
              </w:rPr>
              <w:t>Commercial Services &amp; Supplies</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8.95%</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7/11/2019</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8/1/2024-8/1/2026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2,567</w:t>
            </w: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8" w:lineRule="exact"/>
              <w:rPr>
                <w:sz w:val="20"/>
                <w:szCs w:val="20"/>
                <w:color w:val="auto"/>
              </w:rPr>
            </w:pPr>
            <w:r>
              <w:rPr>
                <w:rFonts w:ascii="Arial" w:cs="Arial" w:eastAsia="Arial" w:hAnsi="Arial"/>
                <w:sz w:val="14"/>
                <w:szCs w:val="14"/>
                <w:color w:val="auto"/>
              </w:rPr>
              <w:t>2,567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Wind River Environmental, LLC (10)</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Diversified Consumer Services</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8.43-10.00%</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7/31/2019</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4"/>
              </w:rPr>
              <w:t>8/1/2024-10/5/25</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870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873</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880" w:type="dxa"/>
            <w:vAlign w:val="bottom"/>
            <w:gridSpan w:val="2"/>
          </w:tcPr>
          <w:p>
            <w:pPr>
              <w:spacing w:after="0" w:line="125" w:lineRule="exact"/>
              <w:rPr>
                <w:sz w:val="20"/>
                <w:szCs w:val="20"/>
                <w:color w:val="auto"/>
              </w:rPr>
            </w:pPr>
            <w:r>
              <w:rPr>
                <w:rFonts w:ascii="Arial" w:cs="Arial" w:eastAsia="Arial" w:hAnsi="Arial"/>
                <w:sz w:val="14"/>
                <w:szCs w:val="14"/>
                <w:color w:val="auto"/>
              </w:rPr>
              <w:t>Womble Company, Inc. (10)</w:t>
            </w:r>
          </w:p>
        </w:tc>
        <w:tc>
          <w:tcPr>
            <w:tcW w:w="2040" w:type="dxa"/>
            <w:vAlign w:val="bottom"/>
            <w:gridSpan w:val="2"/>
          </w:tcPr>
          <w:p>
            <w:pPr>
              <w:spacing w:after="0" w:line="125" w:lineRule="exact"/>
              <w:rPr>
                <w:sz w:val="20"/>
                <w:szCs w:val="20"/>
                <w:color w:val="auto"/>
              </w:rPr>
            </w:pPr>
            <w:r>
              <w:rPr>
                <w:rFonts w:ascii="Arial" w:cs="Arial" w:eastAsia="Arial" w:hAnsi="Arial"/>
                <w:sz w:val="14"/>
                <w:szCs w:val="14"/>
                <w:color w:val="auto"/>
              </w:rPr>
              <w:t>Energy Equipment &amp; Services</w:t>
            </w:r>
          </w:p>
        </w:tc>
        <w:tc>
          <w:tcPr>
            <w:tcW w:w="860" w:type="dxa"/>
            <w:vAlign w:val="bottom"/>
          </w:tcPr>
          <w:p>
            <w:pPr>
              <w:jc w:val="center"/>
              <w:spacing w:after="0" w:line="125" w:lineRule="exact"/>
              <w:rPr>
                <w:sz w:val="20"/>
                <w:szCs w:val="20"/>
                <w:color w:val="auto"/>
              </w:rPr>
            </w:pPr>
            <w:r>
              <w:rPr>
                <w:rFonts w:ascii="Arial" w:cs="Arial" w:eastAsia="Arial" w:hAnsi="Arial"/>
                <w:sz w:val="14"/>
                <w:szCs w:val="14"/>
                <w:color w:val="auto"/>
                <w:w w:val="90"/>
              </w:rPr>
              <w:t>9.11%</w:t>
            </w:r>
          </w:p>
        </w:tc>
        <w:tc>
          <w:tcPr>
            <w:tcW w:w="180" w:type="dxa"/>
            <w:vAlign w:val="bottom"/>
          </w:tcPr>
          <w:p>
            <w:pPr>
              <w:spacing w:after="0"/>
              <w:rPr>
                <w:sz w:val="10"/>
                <w:szCs w:val="10"/>
                <w:color w:val="auto"/>
              </w:rPr>
            </w:pPr>
          </w:p>
        </w:tc>
        <w:tc>
          <w:tcPr>
            <w:tcW w:w="920" w:type="dxa"/>
            <w:vAlign w:val="bottom"/>
            <w:gridSpan w:val="2"/>
          </w:tcPr>
          <w:p>
            <w:pPr>
              <w:jc w:val="right"/>
              <w:ind w:right="200"/>
              <w:spacing w:after="0" w:line="125" w:lineRule="exact"/>
              <w:rPr>
                <w:sz w:val="20"/>
                <w:szCs w:val="20"/>
                <w:color w:val="auto"/>
              </w:rPr>
            </w:pPr>
            <w:r>
              <w:rPr>
                <w:rFonts w:ascii="Arial" w:cs="Arial" w:eastAsia="Arial" w:hAnsi="Arial"/>
                <w:sz w:val="14"/>
                <w:szCs w:val="14"/>
                <w:color w:val="auto"/>
                <w:w w:val="99"/>
              </w:rPr>
              <w:t>12/27/2019</w:t>
            </w:r>
          </w:p>
        </w:tc>
        <w:tc>
          <w:tcPr>
            <w:tcW w:w="1340" w:type="dxa"/>
            <w:vAlign w:val="bottom"/>
          </w:tcPr>
          <w:p>
            <w:pPr>
              <w:jc w:val="center"/>
              <w:spacing w:after="0" w:line="125" w:lineRule="exact"/>
              <w:rPr>
                <w:sz w:val="20"/>
                <w:szCs w:val="20"/>
                <w:color w:val="auto"/>
              </w:rPr>
            </w:pPr>
            <w:r>
              <w:rPr>
                <w:rFonts w:ascii="Arial" w:cs="Arial" w:eastAsia="Arial" w:hAnsi="Arial"/>
                <w:sz w:val="14"/>
                <w:szCs w:val="14"/>
                <w:color w:val="auto"/>
                <w:w w:val="91"/>
              </w:rPr>
              <w:t>1/1/2025</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right"/>
              <w:ind w:right="240"/>
              <w:spacing w:after="0" w:line="125" w:lineRule="exact"/>
              <w:rPr>
                <w:sz w:val="20"/>
                <w:szCs w:val="20"/>
                <w:color w:val="auto"/>
              </w:rPr>
            </w:pPr>
            <w:r>
              <w:rPr>
                <w:rFonts w:ascii="Arial" w:cs="Arial" w:eastAsia="Arial" w:hAnsi="Arial"/>
                <w:sz w:val="14"/>
                <w:szCs w:val="14"/>
                <w:color w:val="auto"/>
              </w:rPr>
              <w:t>547</w:t>
            </w:r>
          </w:p>
        </w:tc>
        <w:tc>
          <w:tcPr>
            <w:tcW w:w="8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4"/>
                <w:szCs w:val="14"/>
                <w:color w:val="auto"/>
              </w:rPr>
              <w:t>547</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4"/>
                <w:szCs w:val="14"/>
                <w:color w:val="auto"/>
              </w:rPr>
              <w:t>537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Shares/Units</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88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w w:val="96"/>
              </w:rPr>
              <w:t>SLR Equipment Finance Equity Interests (2)(9)*</w:t>
            </w:r>
          </w:p>
        </w:tc>
        <w:tc>
          <w:tcPr>
            <w:tcW w:w="204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Multi-Sector Holdings</w:t>
            </w:r>
          </w:p>
        </w:tc>
        <w:tc>
          <w:tcPr>
            <w:tcW w:w="8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CCEEFF"/>
            </w:tcBorders>
            <w:gridSpan w:val="2"/>
            <w:shd w:val="clear" w:color="auto" w:fill="CCEEFF"/>
          </w:tcPr>
          <w:p>
            <w:pPr>
              <w:jc w:val="right"/>
              <w:ind w:right="200"/>
              <w:spacing w:after="0" w:line="141" w:lineRule="exact"/>
              <w:rPr>
                <w:sz w:val="20"/>
                <w:szCs w:val="20"/>
                <w:color w:val="auto"/>
              </w:rPr>
            </w:pPr>
            <w:r>
              <w:rPr>
                <w:rFonts w:ascii="Arial" w:cs="Arial" w:eastAsia="Arial" w:hAnsi="Arial"/>
                <w:sz w:val="14"/>
                <w:szCs w:val="14"/>
                <w:color w:val="auto"/>
              </w:rPr>
              <w:t>7/31/2017</w:t>
            </w:r>
          </w:p>
        </w:tc>
        <w:tc>
          <w:tcPr>
            <w:tcW w:w="1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200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CCEEFF"/>
            </w:tcBorders>
            <w:gridSpan w:val="2"/>
            <w:shd w:val="clear" w:color="auto" w:fill="CCEEFF"/>
          </w:tcPr>
          <w:p>
            <w:pPr>
              <w:jc w:val="right"/>
              <w:ind w:right="20"/>
              <w:spacing w:after="0" w:line="141" w:lineRule="exact"/>
              <w:rPr>
                <w:sz w:val="20"/>
                <w:szCs w:val="20"/>
                <w:color w:val="auto"/>
              </w:rPr>
            </w:pPr>
            <w:r>
              <w:rPr>
                <w:rFonts w:ascii="Arial" w:cs="Arial" w:eastAsia="Arial" w:hAnsi="Arial"/>
                <w:sz w:val="14"/>
                <w:szCs w:val="14"/>
                <w:color w:val="auto"/>
                <w:w w:val="90"/>
              </w:rPr>
              <w:t>145,000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gridSpan w:val="2"/>
            <w:shd w:val="clear" w:color="auto" w:fill="CCEEFF"/>
          </w:tcPr>
          <w:p>
            <w:pPr>
              <w:jc w:val="right"/>
              <w:ind w:right="120"/>
              <w:spacing w:after="0" w:line="141" w:lineRule="exact"/>
              <w:rPr>
                <w:sz w:val="20"/>
                <w:szCs w:val="20"/>
                <w:color w:val="auto"/>
              </w:rPr>
            </w:pPr>
            <w:r>
              <w:rPr>
                <w:rFonts w:ascii="Arial" w:cs="Arial" w:eastAsia="Arial" w:hAnsi="Arial"/>
                <w:sz w:val="14"/>
                <w:szCs w:val="14"/>
                <w:color w:val="auto"/>
                <w:w w:val="86"/>
              </w:rPr>
              <w:t>129,102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Total Equipment Financing</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292,365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6"/>
              </w:rPr>
              <w:t>273,795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Preferred Equity – 0.7%</w:t>
            </w:r>
          </w:p>
        </w:tc>
        <w:tc>
          <w:tcPr>
            <w:tcW w:w="1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tcPr>
          <w:p>
            <w:pPr>
              <w:spacing w:after="0" w:line="148" w:lineRule="exact"/>
              <w:rPr>
                <w:sz w:val="20"/>
                <w:szCs w:val="20"/>
                <w:color w:val="auto"/>
              </w:rPr>
            </w:pPr>
            <w:r>
              <w:rPr>
                <w:rFonts w:ascii="Arial" w:cs="Arial" w:eastAsia="Arial" w:hAnsi="Arial"/>
                <w:sz w:val="14"/>
                <w:szCs w:val="14"/>
                <w:color w:val="auto"/>
              </w:rPr>
              <w:t>SOAGG LLC (2)(3)(4)</w:t>
            </w:r>
          </w:p>
        </w:tc>
        <w:tc>
          <w:tcPr>
            <w:tcW w:w="2040" w:type="dxa"/>
            <w:vAlign w:val="bottom"/>
            <w:gridSpan w:val="2"/>
          </w:tcPr>
          <w:p>
            <w:pPr>
              <w:spacing w:after="0" w:line="148" w:lineRule="exact"/>
              <w:rPr>
                <w:sz w:val="20"/>
                <w:szCs w:val="20"/>
                <w:color w:val="auto"/>
              </w:rPr>
            </w:pPr>
            <w:r>
              <w:rPr>
                <w:rFonts w:ascii="Arial" w:cs="Arial" w:eastAsia="Arial" w:hAnsi="Arial"/>
                <w:sz w:val="14"/>
                <w:szCs w:val="14"/>
                <w:color w:val="auto"/>
              </w:rPr>
              <w:t>Aerospace &amp; Defense</w:t>
            </w:r>
          </w:p>
        </w:tc>
        <w:tc>
          <w:tcPr>
            <w:tcW w:w="860" w:type="dxa"/>
            <w:vAlign w:val="bottom"/>
          </w:tcPr>
          <w:p>
            <w:pPr>
              <w:jc w:val="center"/>
              <w:spacing w:after="0" w:line="148" w:lineRule="exact"/>
              <w:rPr>
                <w:sz w:val="20"/>
                <w:szCs w:val="20"/>
                <w:color w:val="auto"/>
              </w:rPr>
            </w:pPr>
            <w:r>
              <w:rPr>
                <w:rFonts w:ascii="Arial" w:cs="Arial" w:eastAsia="Arial" w:hAnsi="Arial"/>
                <w:sz w:val="14"/>
                <w:szCs w:val="14"/>
                <w:color w:val="auto"/>
                <w:w w:val="90"/>
              </w:rPr>
              <w:t>8.00%</w:t>
            </w:r>
          </w:p>
        </w:tc>
        <w:tc>
          <w:tcPr>
            <w:tcW w:w="1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12/14/2010</w:t>
            </w:r>
          </w:p>
        </w:tc>
        <w:tc>
          <w:tcPr>
            <w:tcW w:w="1340" w:type="dxa"/>
            <w:vAlign w:val="bottom"/>
          </w:tcPr>
          <w:p>
            <w:pPr>
              <w:jc w:val="center"/>
              <w:spacing w:after="0" w:line="148" w:lineRule="exact"/>
              <w:rPr>
                <w:sz w:val="20"/>
                <w:szCs w:val="20"/>
                <w:color w:val="auto"/>
              </w:rPr>
            </w:pPr>
            <w:r>
              <w:rPr>
                <w:rFonts w:ascii="Arial" w:cs="Arial" w:eastAsia="Arial" w:hAnsi="Arial"/>
                <w:sz w:val="14"/>
                <w:szCs w:val="14"/>
                <w:color w:val="auto"/>
                <w:w w:val="93"/>
              </w:rPr>
              <w:t>6/30/2023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446</w:t>
            </w:r>
          </w:p>
        </w:tc>
        <w:tc>
          <w:tcPr>
            <w:tcW w:w="80" w:type="dxa"/>
            <w:vAlign w:val="bottom"/>
          </w:tcPr>
          <w:p>
            <w:pPr>
              <w:jc w:val="right"/>
              <w:spacing w:after="0" w:line="148"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8" w:lineRule="exact"/>
              <w:rPr>
                <w:sz w:val="20"/>
                <w:szCs w:val="20"/>
                <w:color w:val="auto"/>
              </w:rPr>
            </w:pPr>
            <w:r>
              <w:rPr>
                <w:rFonts w:ascii="Arial" w:cs="Arial" w:eastAsia="Arial" w:hAnsi="Arial"/>
                <w:sz w:val="14"/>
                <w:szCs w:val="14"/>
                <w:color w:val="auto"/>
              </w:rPr>
              <w:t>446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1,121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SOINT, LLC (2)(3)(4)</w:t>
            </w:r>
          </w:p>
        </w:tc>
        <w:tc>
          <w:tcPr>
            <w:tcW w:w="204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Aerospace &amp; Defense</w:t>
            </w:r>
          </w:p>
        </w:tc>
        <w:tc>
          <w:tcPr>
            <w:tcW w:w="86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1"/>
              </w:rPr>
              <w:t>5.00%</w:t>
            </w:r>
            <w:r>
              <w:rPr>
                <w:rFonts w:ascii="Arial" w:cs="Arial" w:eastAsia="Arial" w:hAnsi="Arial"/>
                <w:sz w:val="12"/>
                <w:szCs w:val="12"/>
                <w:color w:val="auto"/>
                <w:w w:val="91"/>
              </w:rPr>
              <w:t>(11)</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6/8/2012</w:t>
            </w:r>
          </w:p>
        </w:tc>
        <w:tc>
          <w:tcPr>
            <w:tcW w:w="134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color w:val="auto"/>
                <w:w w:val="93"/>
              </w:rPr>
              <w:t>6/30/2023</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56,030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4"/>
                <w:szCs w:val="14"/>
                <w:color w:val="auto"/>
              </w:rPr>
              <w:t>5,603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8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6,049</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5,630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8"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share/unit amounts)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2560" w:type="dxa"/>
            <w:vAlign w:val="bottom"/>
            <w:gridSpan w:val="3"/>
            <w:vMerge w:val="restart"/>
          </w:tcPr>
          <w:p>
            <w:pPr>
              <w:ind w:left="1340"/>
              <w:spacing w:after="0"/>
              <w:rPr>
                <w:sz w:val="20"/>
                <w:szCs w:val="20"/>
                <w:color w:val="auto"/>
              </w:rPr>
            </w:pPr>
            <w:r>
              <w:rPr>
                <w:rFonts w:ascii="Arial" w:cs="Arial" w:eastAsia="Arial" w:hAnsi="Arial"/>
                <w:sz w:val="14"/>
                <w:szCs w:val="14"/>
                <w:b w:val="1"/>
                <w:bCs w:val="1"/>
                <w:color w:val="auto"/>
              </w:rPr>
              <w:t>Industry</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Acquisition</w:t>
            </w: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Shares/Units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7"/>
        </w:trPr>
        <w:tc>
          <w:tcPr>
            <w:tcW w:w="7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56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center"/>
              <w:ind w:right="640"/>
              <w:spacing w:after="0" w:line="157" w:lineRule="exact"/>
              <w:rPr>
                <w:sz w:val="20"/>
                <w:szCs w:val="20"/>
                <w:color w:val="auto"/>
              </w:rPr>
            </w:pPr>
            <w:r>
              <w:rPr>
                <w:rFonts w:ascii="Arial" w:cs="Arial" w:eastAsia="Arial" w:hAnsi="Arial"/>
                <w:sz w:val="14"/>
                <w:szCs w:val="14"/>
                <w:b w:val="1"/>
                <w:bCs w:val="1"/>
                <w:color w:val="auto"/>
                <w:w w:val="92"/>
              </w:rPr>
              <w:t>Date</w:t>
            </w: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120"/>
              <w:spacing w:after="0" w:line="15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35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1"/>
              </w:rPr>
              <w:t>Common Equity/Equity Interests/Warrants—53.6%</w:t>
            </w:r>
          </w:p>
        </w:tc>
        <w:tc>
          <w:tcPr>
            <w:tcW w:w="14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aTyr Pharma, Inc. Warrants *</w:t>
            </w:r>
          </w:p>
        </w:tc>
        <w:tc>
          <w:tcPr>
            <w:tcW w:w="2620" w:type="dxa"/>
            <w:vAlign w:val="bottom"/>
            <w:gridSpan w:val="4"/>
          </w:tcPr>
          <w:p>
            <w:pPr>
              <w:ind w:left="60"/>
              <w:spacing w:after="0"/>
              <w:rPr>
                <w:sz w:val="20"/>
                <w:szCs w:val="20"/>
                <w:color w:val="auto"/>
              </w:rPr>
            </w:pPr>
            <w:r>
              <w:rPr>
                <w:rFonts w:ascii="Arial" w:cs="Arial" w:eastAsia="Arial" w:hAnsi="Arial"/>
                <w:sz w:val="18"/>
                <w:szCs w:val="18"/>
                <w:color w:val="auto"/>
              </w:rPr>
              <w:t>Pharmaceuticals</w:t>
            </w:r>
          </w:p>
        </w:tc>
        <w:tc>
          <w:tcPr>
            <w:tcW w:w="1820" w:type="dxa"/>
            <w:vAlign w:val="bottom"/>
            <w:gridSpan w:val="7"/>
          </w:tcPr>
          <w:p>
            <w:pPr>
              <w:jc w:val="right"/>
              <w:ind w:right="180"/>
              <w:spacing w:after="0"/>
              <w:rPr>
                <w:sz w:val="20"/>
                <w:szCs w:val="20"/>
                <w:color w:val="auto"/>
              </w:rPr>
            </w:pPr>
            <w:r>
              <w:rPr>
                <w:rFonts w:ascii="Arial" w:cs="Arial" w:eastAsia="Arial" w:hAnsi="Arial"/>
                <w:sz w:val="18"/>
                <w:szCs w:val="18"/>
                <w:color w:val="auto"/>
              </w:rPr>
              <w:t>11/18/2016</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6,347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CardioFocus, Inc. Warrants *</w:t>
            </w:r>
          </w:p>
        </w:tc>
        <w:tc>
          <w:tcPr>
            <w:tcW w:w="26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1"/>
              </w:rPr>
              <w:t>Health Care Equipment &amp; Supplies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3/31/2017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Centrexion Therapeutics, Inc. Warrants *</w:t>
            </w:r>
          </w:p>
        </w:tc>
        <w:tc>
          <w:tcPr>
            <w:tcW w:w="2620" w:type="dxa"/>
            <w:vAlign w:val="bottom"/>
            <w:gridSpan w:val="4"/>
          </w:tcPr>
          <w:p>
            <w:pPr>
              <w:ind w:left="60"/>
              <w:spacing w:after="0"/>
              <w:rPr>
                <w:sz w:val="20"/>
                <w:szCs w:val="20"/>
                <w:color w:val="auto"/>
              </w:rPr>
            </w:pPr>
            <w:r>
              <w:rPr>
                <w:rFonts w:ascii="Arial" w:cs="Arial" w:eastAsia="Arial" w:hAnsi="Arial"/>
                <w:sz w:val="18"/>
                <w:szCs w:val="18"/>
                <w:color w:val="auto"/>
              </w:rPr>
              <w:t>Pharmaceuticals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6/28/2019</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289,102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Conventus Orthopaedics, Inc. Warrants *</w:t>
            </w:r>
          </w:p>
        </w:tc>
        <w:tc>
          <w:tcPr>
            <w:tcW w:w="26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1"/>
              </w:rPr>
              <w:t>Health Care Equipment &amp; Supplies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6/15/2016</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w w:val="91"/>
              </w:rPr>
              <w:t>Delphinus Medical Technologies, Inc. Warrants</w:t>
            </w:r>
          </w:p>
        </w:tc>
        <w:tc>
          <w:tcPr>
            <w:tcW w:w="2620" w:type="dxa"/>
            <w:vAlign w:val="bottom"/>
            <w:gridSpan w:val="4"/>
          </w:tcPr>
          <w:p>
            <w:pPr>
              <w:ind w:left="60"/>
              <w:spacing w:after="0" w:line="201" w:lineRule="exact"/>
              <w:rPr>
                <w:sz w:val="20"/>
                <w:szCs w:val="20"/>
                <w:color w:val="auto"/>
              </w:rPr>
            </w:pPr>
            <w:r>
              <w:rPr>
                <w:rFonts w:ascii="Arial" w:cs="Arial" w:eastAsia="Arial" w:hAnsi="Arial"/>
                <w:sz w:val="18"/>
                <w:szCs w:val="18"/>
                <w:color w:val="auto"/>
                <w:w w:val="91"/>
              </w:rPr>
              <w:t>Health Care Equipment &amp; Supplies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180"/>
              <w:spacing w:after="0"/>
              <w:rPr>
                <w:sz w:val="20"/>
                <w:szCs w:val="20"/>
                <w:color w:val="auto"/>
              </w:rPr>
            </w:pPr>
            <w:r>
              <w:rPr>
                <w:rFonts w:ascii="Arial" w:cs="Arial" w:eastAsia="Arial" w:hAnsi="Arial"/>
                <w:sz w:val="18"/>
                <w:szCs w:val="18"/>
                <w:color w:val="auto"/>
              </w:rPr>
              <w:t>*</w:t>
            </w:r>
          </w:p>
        </w:tc>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8/18/2017</w:t>
            </w:r>
          </w:p>
        </w:tc>
        <w:tc>
          <w:tcPr>
            <w:tcW w:w="1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444,388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1"/>
        </w:trPr>
        <w:tc>
          <w:tcPr>
            <w:tcW w:w="3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Essence Group Holdings Corporation</w:t>
            </w:r>
          </w:p>
        </w:tc>
        <w:tc>
          <w:tcPr>
            <w:tcW w:w="2620" w:type="dxa"/>
            <w:vAlign w:val="bottom"/>
            <w:gridSpan w:val="4"/>
            <w:shd w:val="clear" w:color="auto" w:fill="CCEEFF"/>
          </w:tcPr>
          <w:p>
            <w:pPr>
              <w:ind w:left="60"/>
              <w:spacing w:after="0" w:line="201" w:lineRule="exact"/>
              <w:rPr>
                <w:sz w:val="20"/>
                <w:szCs w:val="20"/>
                <w:color w:val="auto"/>
              </w:rPr>
            </w:pPr>
            <w:r>
              <w:rPr>
                <w:rFonts w:ascii="Arial" w:cs="Arial" w:eastAsia="Arial" w:hAnsi="Arial"/>
                <w:sz w:val="18"/>
                <w:szCs w:val="18"/>
                <w:color w:val="auto"/>
              </w:rPr>
              <w:t>Health Care Technology</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(Lumeris) Warrants *</w:t>
            </w:r>
          </w:p>
        </w:tc>
        <w:tc>
          <w:tcPr>
            <w:tcW w:w="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3/22/2017</w:t>
            </w: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KBH Topco LLC (Kingsbridge) (2)(5)</w:t>
            </w:r>
          </w:p>
        </w:tc>
        <w:tc>
          <w:tcPr>
            <w:tcW w:w="2620" w:type="dxa"/>
            <w:vAlign w:val="bottom"/>
            <w:gridSpan w:val="4"/>
          </w:tcPr>
          <w:p>
            <w:pPr>
              <w:ind w:left="60"/>
              <w:spacing w:after="0"/>
              <w:rPr>
                <w:sz w:val="20"/>
                <w:szCs w:val="20"/>
                <w:color w:val="auto"/>
              </w:rPr>
            </w:pPr>
            <w:r>
              <w:rPr>
                <w:rFonts w:ascii="Arial" w:cs="Arial" w:eastAsia="Arial" w:hAnsi="Arial"/>
                <w:sz w:val="18"/>
                <w:szCs w:val="18"/>
                <w:color w:val="auto"/>
              </w:rPr>
              <w:t>Multi-Sector Holdings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11/3/2020</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73,500,000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136,596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145,996</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(2)*</w:t>
            </w:r>
          </w:p>
        </w:tc>
        <w:tc>
          <w:tcPr>
            <w:tcW w:w="26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Diversified Consumer Services</w:t>
            </w:r>
          </w:p>
        </w:tc>
        <w:tc>
          <w:tcPr>
            <w:tcW w:w="182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12/23/2013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231,177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RD Holdco Inc. (Rug Doctor) Class B (2)*</w:t>
            </w:r>
          </w:p>
        </w:tc>
        <w:tc>
          <w:tcPr>
            <w:tcW w:w="2620" w:type="dxa"/>
            <w:vAlign w:val="bottom"/>
            <w:gridSpan w:val="4"/>
          </w:tcPr>
          <w:p>
            <w:pPr>
              <w:ind w:left="60"/>
              <w:spacing w:after="0"/>
              <w:rPr>
                <w:sz w:val="20"/>
                <w:szCs w:val="20"/>
                <w:color w:val="auto"/>
              </w:rPr>
            </w:pPr>
            <w:r>
              <w:rPr>
                <w:rFonts w:ascii="Arial" w:cs="Arial" w:eastAsia="Arial" w:hAnsi="Arial"/>
                <w:sz w:val="18"/>
                <w:szCs w:val="18"/>
                <w:color w:val="auto"/>
              </w:rPr>
              <w:t>Diversified Consumer Services</w:t>
            </w:r>
          </w:p>
        </w:tc>
        <w:tc>
          <w:tcPr>
            <w:tcW w:w="1820" w:type="dxa"/>
            <w:vAlign w:val="bottom"/>
            <w:gridSpan w:val="7"/>
          </w:tcPr>
          <w:p>
            <w:pPr>
              <w:jc w:val="right"/>
              <w:ind w:right="180"/>
              <w:spacing w:after="0"/>
              <w:rPr>
                <w:sz w:val="20"/>
                <w:szCs w:val="20"/>
                <w:color w:val="auto"/>
              </w:rPr>
            </w:pPr>
            <w:r>
              <w:rPr>
                <w:rFonts w:ascii="Arial" w:cs="Arial" w:eastAsia="Arial" w:hAnsi="Arial"/>
                <w:sz w:val="18"/>
                <w:szCs w:val="18"/>
                <w:color w:val="auto"/>
              </w:rPr>
              <w:t>12/23/2013</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5,216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Warrants (2)*</w:t>
            </w:r>
          </w:p>
        </w:tc>
        <w:tc>
          <w:tcPr>
            <w:tcW w:w="26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Diversified Consumer Services</w:t>
            </w:r>
          </w:p>
        </w:tc>
        <w:tc>
          <w:tcPr>
            <w:tcW w:w="182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12/23/2013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Senseonics Holdings, Inc. (3)(8)*</w:t>
            </w:r>
          </w:p>
        </w:tc>
        <w:tc>
          <w:tcPr>
            <w:tcW w:w="2620" w:type="dxa"/>
            <w:vAlign w:val="bottom"/>
            <w:gridSpan w:val="4"/>
          </w:tcPr>
          <w:p>
            <w:pPr>
              <w:ind w:left="60"/>
              <w:spacing w:after="0"/>
              <w:rPr>
                <w:sz w:val="20"/>
                <w:szCs w:val="20"/>
                <w:color w:val="auto"/>
              </w:rPr>
            </w:pPr>
            <w:r>
              <w:rPr>
                <w:rFonts w:ascii="Arial" w:cs="Arial" w:eastAsia="Arial" w:hAnsi="Arial"/>
                <w:sz w:val="18"/>
                <w:szCs w:val="18"/>
                <w:color w:val="auto"/>
                <w:w w:val="91"/>
              </w:rPr>
              <w:t>Health Care Equipment &amp; Supplies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7/25/2019</w:t>
            </w:r>
          </w:p>
        </w:tc>
        <w:tc>
          <w:tcPr>
            <w:tcW w:w="1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406,923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SLR Credit Solutions (2)(3)</w:t>
            </w:r>
          </w:p>
        </w:tc>
        <w:tc>
          <w:tcPr>
            <w:tcW w:w="26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Diversified Financial Services</w:t>
            </w:r>
          </w:p>
        </w:tc>
        <w:tc>
          <w:tcPr>
            <w:tcW w:w="1820" w:type="dxa"/>
            <w:vAlign w:val="bottom"/>
            <w:gridSpan w:val="7"/>
            <w:shd w:val="clear" w:color="auto" w:fill="CCEEFF"/>
          </w:tcPr>
          <w:p>
            <w:pPr>
              <w:jc w:val="right"/>
              <w:ind w:right="180"/>
              <w:spacing w:after="0"/>
              <w:rPr>
                <w:sz w:val="20"/>
                <w:szCs w:val="20"/>
                <w:color w:val="auto"/>
              </w:rPr>
            </w:pPr>
            <w:r>
              <w:rPr>
                <w:rFonts w:ascii="Arial" w:cs="Arial" w:eastAsia="Arial" w:hAnsi="Arial"/>
                <w:sz w:val="18"/>
                <w:szCs w:val="18"/>
                <w:color w:val="auto"/>
              </w:rPr>
              <w:t>12/28/2012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280,303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280,737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298,766</w:t>
            </w:r>
          </w:p>
        </w:tc>
        <w:tc>
          <w:tcPr>
            <w:tcW w:w="0" w:type="dxa"/>
            <w:vAlign w:val="bottom"/>
          </w:tcPr>
          <w:p>
            <w:pPr>
              <w:spacing w:after="0"/>
              <w:rPr>
                <w:sz w:val="1"/>
                <w:szCs w:val="1"/>
                <w:color w:val="auto"/>
              </w:rPr>
            </w:pPr>
          </w:p>
        </w:tc>
      </w:tr>
      <w:tr>
        <w:trPr>
          <w:trHeight w:val="201"/>
        </w:trPr>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Venus Concept Ltd. Warrants* (f/k/a</w:t>
            </w:r>
          </w:p>
        </w:tc>
        <w:tc>
          <w:tcPr>
            <w:tcW w:w="2620" w:type="dxa"/>
            <w:vAlign w:val="bottom"/>
            <w:gridSpan w:val="4"/>
          </w:tcPr>
          <w:p>
            <w:pPr>
              <w:ind w:left="60"/>
              <w:spacing w:after="0" w:line="201" w:lineRule="exact"/>
              <w:rPr>
                <w:sz w:val="20"/>
                <w:szCs w:val="20"/>
                <w:color w:val="auto"/>
              </w:rPr>
            </w:pPr>
            <w:r>
              <w:rPr>
                <w:rFonts w:ascii="Arial" w:cs="Arial" w:eastAsia="Arial" w:hAnsi="Arial"/>
                <w:sz w:val="18"/>
                <w:szCs w:val="18"/>
                <w:color w:val="auto"/>
                <w:w w:val="91"/>
              </w:rPr>
              <w:t>Health Care Equipment &amp; Supplies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80" w:type="dxa"/>
            <w:vAlign w:val="bottom"/>
            <w:gridSpan w:val="2"/>
          </w:tcPr>
          <w:p>
            <w:pPr>
              <w:ind w:left="180"/>
              <w:spacing w:after="0"/>
              <w:rPr>
                <w:sz w:val="20"/>
                <w:szCs w:val="20"/>
                <w:color w:val="auto"/>
              </w:rPr>
            </w:pPr>
            <w:r>
              <w:rPr>
                <w:rFonts w:ascii="Arial" w:cs="Arial" w:eastAsia="Arial" w:hAnsi="Arial"/>
                <w:sz w:val="18"/>
                <w:szCs w:val="18"/>
                <w:color w:val="auto"/>
              </w:rPr>
              <w:t>Restoration Robotics)</w:t>
            </w:r>
          </w:p>
        </w:tc>
        <w:tc>
          <w:tcPr>
            <w:tcW w:w="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5/10/2018</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27,352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00" w:type="dxa"/>
            <w:vAlign w:val="bottom"/>
            <w:gridSpan w:val="6"/>
            <w:shd w:val="clear" w:color="auto" w:fill="CCEEFF"/>
          </w:tcPr>
          <w:p>
            <w:pPr>
              <w:ind w:left="360"/>
              <w:spacing w:after="0"/>
              <w:rPr>
                <w:sz w:val="20"/>
                <w:szCs w:val="20"/>
                <w:color w:val="auto"/>
              </w:rPr>
            </w:pPr>
            <w:r>
              <w:rPr>
                <w:rFonts w:ascii="Arial" w:cs="Arial" w:eastAsia="Arial" w:hAnsi="Arial"/>
                <w:sz w:val="18"/>
                <w:szCs w:val="18"/>
                <w:b w:val="1"/>
                <w:bCs w:val="1"/>
                <w:color w:val="auto"/>
              </w:rPr>
              <w:t>Total Common Equity/Equity Interests/Warrants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439,377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451,467</w:t>
            </w:r>
          </w:p>
        </w:tc>
        <w:tc>
          <w:tcPr>
            <w:tcW w:w="0" w:type="dxa"/>
            <w:vAlign w:val="bottom"/>
          </w:tcPr>
          <w:p>
            <w:pPr>
              <w:spacing w:after="0"/>
              <w:rPr>
                <w:sz w:val="1"/>
                <w:szCs w:val="1"/>
                <w:color w:val="auto"/>
              </w:rPr>
            </w:pPr>
          </w:p>
        </w:tc>
      </w:tr>
      <w:tr>
        <w:trPr>
          <w:trHeight w:val="222"/>
        </w:trPr>
        <w:tc>
          <w:tcPr>
            <w:tcW w:w="34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Investments (6) — 198.3%</w:t>
            </w:r>
          </w:p>
        </w:tc>
        <w:tc>
          <w:tcPr>
            <w:tcW w:w="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1,696,953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1,670,582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Industry</w:t>
            </w:r>
          </w:p>
        </w:tc>
        <w:tc>
          <w:tcPr>
            <w:tcW w:w="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24"/>
                <w:szCs w:val="2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Maturity</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Amount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7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00" w:type="dxa"/>
            <w:vAlign w:val="bottom"/>
            <w:gridSpan w:val="4"/>
          </w:tcPr>
          <w:p>
            <w:pPr>
              <w:jc w:val="center"/>
              <w:ind w:right="20"/>
              <w:spacing w:after="0" w:line="157" w:lineRule="exact"/>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5"/>
                <w:szCs w:val="15"/>
                <w:color w:val="auto"/>
              </w:rPr>
            </w:pPr>
          </w:p>
        </w:tc>
        <w:tc>
          <w:tcPr>
            <w:tcW w:w="96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8"/>
              </w:rPr>
              <w:t>Date</w:t>
            </w:r>
          </w:p>
        </w:tc>
        <w:tc>
          <w:tcPr>
            <w:tcW w:w="9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Equivalents — 38.0%</w:t>
            </w: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480" w:type="dxa"/>
            <w:vAlign w:val="bottom"/>
            <w:gridSpan w:val="2"/>
          </w:tcPr>
          <w:p>
            <w:pPr>
              <w:spacing w:after="0"/>
              <w:rPr>
                <w:sz w:val="20"/>
                <w:szCs w:val="20"/>
                <w:color w:val="auto"/>
              </w:rPr>
            </w:pPr>
            <w:r>
              <w:rPr>
                <w:rFonts w:ascii="Arial" w:cs="Arial" w:eastAsia="Arial" w:hAnsi="Arial"/>
                <w:sz w:val="18"/>
                <w:szCs w:val="18"/>
                <w:color w:val="auto"/>
              </w:rPr>
              <w:t>U.S. Treasury Bill</w:t>
            </w: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Government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12/31/2021</w:t>
            </w:r>
          </w:p>
        </w:tc>
        <w:tc>
          <w:tcPr>
            <w:tcW w:w="1100" w:type="dxa"/>
            <w:vAlign w:val="bottom"/>
            <w:gridSpan w:val="4"/>
          </w:tcPr>
          <w:p>
            <w:pPr>
              <w:jc w:val="right"/>
              <w:ind w:right="180"/>
              <w:spacing w:after="0"/>
              <w:rPr>
                <w:sz w:val="20"/>
                <w:szCs w:val="20"/>
                <w:color w:val="auto"/>
              </w:rPr>
            </w:pPr>
            <w:r>
              <w:rPr>
                <w:rFonts w:ascii="Arial" w:cs="Arial" w:eastAsia="Arial" w:hAnsi="Arial"/>
                <w:sz w:val="18"/>
                <w:szCs w:val="18"/>
                <w:color w:val="auto"/>
              </w:rPr>
              <w:t>1/25/2022</w:t>
            </w:r>
          </w:p>
        </w:tc>
        <w:tc>
          <w:tcPr>
            <w:tcW w:w="860" w:type="dxa"/>
            <w:vAlign w:val="bottom"/>
            <w:gridSpan w:val="2"/>
          </w:tcPr>
          <w:p>
            <w:pPr>
              <w:spacing w:after="0"/>
              <w:rPr>
                <w:sz w:val="20"/>
                <w:szCs w:val="20"/>
                <w:color w:val="auto"/>
              </w:rPr>
            </w:pPr>
            <w:r>
              <w:rPr>
                <w:rFonts w:ascii="Arial" w:cs="Arial" w:eastAsia="Arial" w:hAnsi="Arial"/>
                <w:sz w:val="18"/>
                <w:szCs w:val="18"/>
                <w:color w:val="auto"/>
              </w:rPr>
              <w:t>$ 320,000</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gridSpan w:val="6"/>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 &amp; Cash Equivalents — 236.3%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$2,016,953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$ 1,990,582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6"/>
          </w:tcPr>
          <w:p>
            <w:pPr>
              <w:ind w:left="360"/>
              <w:spacing w:after="0"/>
              <w:rPr>
                <w:sz w:val="20"/>
                <w:szCs w:val="20"/>
                <w:color w:val="auto"/>
              </w:rPr>
            </w:pPr>
            <w:r>
              <w:rPr>
                <w:rFonts w:ascii="Arial" w:cs="Arial" w:eastAsia="Arial" w:hAnsi="Arial"/>
                <w:sz w:val="18"/>
                <w:szCs w:val="18"/>
                <w:color w:val="auto"/>
              </w:rPr>
              <w:t>Liabilities in Excess of Other Assets — (136.3%)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5"/>
          </w:tcPr>
          <w:p>
            <w:pPr>
              <w:jc w:val="right"/>
              <w:ind w:right="40"/>
              <w:spacing w:after="0"/>
              <w:rPr>
                <w:sz w:val="20"/>
                <w:szCs w:val="20"/>
                <w:color w:val="auto"/>
              </w:rPr>
            </w:pPr>
            <w:r>
              <w:rPr>
                <w:rFonts w:ascii="Arial" w:cs="Arial" w:eastAsia="Arial" w:hAnsi="Arial"/>
                <w:sz w:val="18"/>
                <w:szCs w:val="18"/>
                <w:color w:val="auto"/>
                <w:w w:val="99"/>
              </w:rPr>
              <w:t>(1,148,301)</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 100.0%</w:t>
            </w:r>
          </w:p>
        </w:tc>
        <w:tc>
          <w:tcPr>
            <w:tcW w:w="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842,281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580" w:right="80" w:hanging="438"/>
        <w:spacing w:after="0" w:line="25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Floating rate debt investments typically bear interest at a rate determined by reference to the London Interbank Offered Rate (“LIBOR”), and which typically reset monthly, quarterly or semi-annually. For each debt investment we have provided the current rate of interest, or in the case of leases the current implied yield, in effect as of December 31, 2021.</w:t>
      </w:r>
    </w:p>
    <w:p>
      <w:pPr>
        <w:spacing w:after="0" w:line="2" w:lineRule="exact"/>
        <w:rPr>
          <w:rFonts w:ascii="Arial" w:cs="Arial" w:eastAsia="Arial" w:hAnsi="Arial"/>
          <w:sz w:val="18"/>
          <w:szCs w:val="18"/>
          <w:color w:val="auto"/>
        </w:rPr>
      </w:pPr>
    </w:p>
    <w:p>
      <w:pPr>
        <w:ind w:left="580" w:right="80" w:hanging="438"/>
        <w:spacing w:after="0" w:line="25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Denotes investments in which we are deemed to exercise a controlling influence over the management or policies of a company, as defined in the Investment Company Act of 1940, as amended (“1940 Act”), due to beneficially owning, either directly or through one or more controlled companies, more than 25% of the outstanding voting securities of the investment. Transactions during the year ended December 31, 2021 in these controlled investments are as follows:</w:t>
      </w:r>
    </w:p>
    <w:p>
      <w:pPr>
        <w:spacing w:after="0" w:line="19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Realized</w:t>
            </w:r>
          </w:p>
        </w:tc>
        <w:tc>
          <w:tcPr>
            <w:tcW w:w="3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 in</w:t>
            </w:r>
          </w:p>
        </w:tc>
        <w:tc>
          <w:tcPr>
            <w:tcW w:w="7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Interest/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8"/>
              </w:rPr>
              <w:t>Fair Value at</w:t>
            </w:r>
          </w:p>
        </w:tc>
        <w:tc>
          <w:tcPr>
            <w:tcW w:w="10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w:t>
            </w:r>
          </w:p>
        </w:tc>
        <w:tc>
          <w:tcPr>
            <w:tcW w:w="5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Unrealized</w:t>
            </w:r>
          </w:p>
        </w:tc>
        <w:tc>
          <w:tcPr>
            <w:tcW w:w="7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Issuer</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line="148" w:lineRule="exact"/>
              <w:rPr>
                <w:sz w:val="20"/>
                <w:szCs w:val="20"/>
                <w:color w:val="auto"/>
              </w:rPr>
            </w:pPr>
            <w:r>
              <w:rPr>
                <w:rFonts w:ascii="Arial" w:cs="Arial" w:eastAsia="Arial" w:hAnsi="Arial"/>
                <w:sz w:val="14"/>
                <w:szCs w:val="14"/>
                <w:b w:val="1"/>
                <w:bCs w:val="1"/>
                <w:color w:val="auto"/>
              </w:rPr>
              <w:t>Gain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rPr>
              <w:t>Gain</w:t>
            </w:r>
          </w:p>
        </w:tc>
        <w:tc>
          <w:tcPr>
            <w:tcW w:w="7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540" w:type="dxa"/>
            <w:vAlign w:val="bottom"/>
            <w:gridSpan w:val="2"/>
            <w:vMerge w:val="continue"/>
          </w:tcPr>
          <w:p>
            <w:pPr>
              <w:spacing w:after="0"/>
              <w:rPr>
                <w:sz w:val="13"/>
                <w:szCs w:val="13"/>
                <w:color w:val="auto"/>
              </w:rPr>
            </w:pPr>
          </w:p>
        </w:tc>
        <w:tc>
          <w:tcPr>
            <w:tcW w:w="14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December 31, 2020</w:t>
            </w:r>
          </w:p>
        </w:tc>
        <w:tc>
          <w:tcPr>
            <w:tcW w:w="76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3"/>
                <w:szCs w:val="13"/>
                <w:color w:val="auto"/>
              </w:rPr>
            </w:pPr>
          </w:p>
        </w:tc>
        <w:tc>
          <w:tcPr>
            <w:tcW w:w="10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Reductions</w:t>
            </w:r>
          </w:p>
        </w:tc>
        <w:tc>
          <w:tcPr>
            <w:tcW w:w="540" w:type="dxa"/>
            <w:vAlign w:val="bottom"/>
            <w:gridSpan w:val="2"/>
          </w:tcPr>
          <w:p>
            <w:pPr>
              <w:ind w:left="100"/>
              <w:spacing w:after="0" w:line="157" w:lineRule="exact"/>
              <w:rPr>
                <w:sz w:val="20"/>
                <w:szCs w:val="20"/>
                <w:color w:val="auto"/>
              </w:rPr>
            </w:pPr>
            <w:r>
              <w:rPr>
                <w:rFonts w:ascii="Arial" w:cs="Arial" w:eastAsia="Arial" w:hAnsi="Arial"/>
                <w:sz w:val="14"/>
                <w:szCs w:val="14"/>
                <w:b w:val="1"/>
                <w:bCs w:val="1"/>
                <w:color w:val="auto"/>
                <w:w w:val="99"/>
              </w:rPr>
              <w:t>(Loss)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500"/>
              <w:spacing w:after="0" w:line="157" w:lineRule="exact"/>
              <w:rPr>
                <w:sz w:val="20"/>
                <w:szCs w:val="20"/>
                <w:color w:val="auto"/>
              </w:rPr>
            </w:pPr>
            <w:r>
              <w:rPr>
                <w:rFonts w:ascii="Arial" w:cs="Arial" w:eastAsia="Arial" w:hAnsi="Arial"/>
                <w:sz w:val="14"/>
                <w:szCs w:val="14"/>
                <w:b w:val="1"/>
                <w:bCs w:val="1"/>
                <w:color w:val="auto"/>
                <w:w w:val="95"/>
              </w:rPr>
              <w:t>(Loss)</w:t>
            </w:r>
          </w:p>
        </w:tc>
        <w:tc>
          <w:tcPr>
            <w:tcW w:w="76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89"/>
              </w:rPr>
              <w:t>Income</w:t>
            </w:r>
          </w:p>
        </w:tc>
        <w:tc>
          <w:tcPr>
            <w:tcW w:w="160" w:type="dxa"/>
            <w:vAlign w:val="bottom"/>
          </w:tcPr>
          <w:p>
            <w:pPr>
              <w:spacing w:after="0"/>
              <w:rPr>
                <w:sz w:val="13"/>
                <w:szCs w:val="13"/>
                <w:color w:val="auto"/>
              </w:rPr>
            </w:pPr>
          </w:p>
        </w:tc>
        <w:tc>
          <w:tcPr>
            <w:tcW w:w="12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AviatorCap SII, LLC</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Equipment Operating Leases, LLC</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25,540</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6,667</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Kingsbridge Holdings, LLC</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KBH Topco, LLC (Kingsbridge)</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136,596</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9,400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145,996</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Loyer Capital LLC</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14,456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10,725</w:t>
            </w:r>
          </w:p>
        </w:tc>
        <w:tc>
          <w:tcPr>
            <w:tcW w:w="0" w:type="dxa"/>
            <w:vAlign w:val="bottom"/>
          </w:tcPr>
          <w:p>
            <w:pPr>
              <w:spacing w:after="0"/>
              <w:rPr>
                <w:sz w:val="1"/>
                <w:szCs w:val="1"/>
                <w:color w:val="auto"/>
              </w:rPr>
            </w:pPr>
          </w:p>
        </w:tc>
      </w:tr>
      <w:tr>
        <w:trPr>
          <w:trHeight w:val="201"/>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RD Holdco Inc. (Rug Doctor, common</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RD Holdco Inc. (Rug Doctor, class B)..</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5,216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5,216</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RD Holdco Inc. (Rug Doctor, warrants)..</w:t>
            </w: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Rug Doctor LLC</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10,559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SLR Credit Solutions</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296,766</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22,500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298,766</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SLR Equipment Finance (equity)</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129,102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129,102</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SLR Equipment Finance (debt)</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SOAGG LLC</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15"/>
        </w:trPr>
        <w:tc>
          <w:tcPr>
            <w:tcW w:w="3540" w:type="dxa"/>
            <w:vAlign w:val="bottom"/>
            <w:gridSpan w:val="2"/>
          </w:tcPr>
          <w:p>
            <w:pPr>
              <w:spacing w:after="0"/>
              <w:rPr>
                <w:sz w:val="20"/>
                <w:szCs w:val="20"/>
                <w:color w:val="auto"/>
              </w:rPr>
            </w:pPr>
            <w:r>
              <w:rPr>
                <w:rFonts w:ascii="Arial" w:cs="Arial" w:eastAsia="Arial" w:hAnsi="Arial"/>
                <w:sz w:val="18"/>
                <w:szCs w:val="18"/>
                <w:color w:val="auto"/>
              </w:rPr>
              <w:t>SOINT, LLC</w:t>
            </w:r>
          </w:p>
        </w:tc>
        <w:tc>
          <w:tcPr>
            <w:tcW w:w="14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4,101</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9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709,653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1,541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14,189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9,113</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48,942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706,203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100"/>
          </w:cols>
          <w:pgMar w:left="320" w:top="458" w:right="479" w:bottom="1440" w:gutter="0" w:footer="0" w:header="0"/>
        </w:sectPr>
      </w:pP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458" w:right="4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2021</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p>
      <w:pPr>
        <w:ind w:left="580" w:right="20" w:hanging="438"/>
        <w:spacing w:after="0" w:line="268" w:lineRule="auto"/>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Indicates assets that the Company believes may not represent “qualifying assets” under Section 55(a) of the 1940 Act. If we fail to invest a sufficient portion of our assets in qualifying assets, we could be prevented from making follow-on investments in existing portfolio companies or could be required to dispose of investments at inappropriate times in order to comply with the 1940 Act. As of December 31, 2021, on a fair value basis, non-qualifying assets in the portfolio represented 23.1% of the total assets of the Company.</w:t>
      </w:r>
    </w:p>
    <w:p>
      <w:pPr>
        <w:spacing w:after="0" w:line="1" w:lineRule="exact"/>
        <w:rPr>
          <w:rFonts w:ascii="Arial" w:cs="Arial" w:eastAsia="Arial" w:hAnsi="Arial"/>
          <w:sz w:val="17"/>
          <w:szCs w:val="17"/>
          <w:color w:val="auto"/>
        </w:rPr>
      </w:pPr>
    </w:p>
    <w:p>
      <w:pPr>
        <w:ind w:left="580" w:hanging="438"/>
        <w:spacing w:after="0"/>
        <w:tabs>
          <w:tab w:leader="none" w:pos="5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investments in SOAGG, LLC and SOINT, LLC include a two and one dollar investment in common shares, respectively.</w:t>
      </w:r>
    </w:p>
    <w:p>
      <w:pPr>
        <w:spacing w:after="0" w:line="19" w:lineRule="exact"/>
        <w:rPr>
          <w:rFonts w:ascii="Arial" w:cs="Arial" w:eastAsia="Arial" w:hAnsi="Arial"/>
          <w:sz w:val="17"/>
          <w:szCs w:val="17"/>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Kingsbridge Holdings, LLC is held through KBH Topco LLC, a Delaware corporation.</w:t>
      </w:r>
    </w:p>
    <w:p>
      <w:pPr>
        <w:spacing w:after="0" w:line="8" w:lineRule="exact"/>
        <w:rPr>
          <w:rFonts w:ascii="Arial" w:cs="Arial" w:eastAsia="Arial" w:hAnsi="Arial"/>
          <w:sz w:val="18"/>
          <w:szCs w:val="18"/>
          <w:color w:val="auto"/>
        </w:rPr>
      </w:pPr>
    </w:p>
    <w:p>
      <w:pPr>
        <w:ind w:left="580" w:right="80" w:hanging="438"/>
        <w:spacing w:after="0" w:line="24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net unrealized appreciation for U.S. federal income tax purposes is $19,495; aggregate gross unrealized appreciation and depreciation for U.S. federal tax purposes is $82,598 and $63,103, respectively, based on a tax cost of $1,651,087. Unless otherwise noted, all of the Company’s investments are pledged as collateral against the borrowings outstanding on the senior secured credit facility. 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 All investments are Level 3 unless otherwise indicated.</w:t>
      </w:r>
    </w:p>
    <w:p>
      <w:pPr>
        <w:spacing w:after="0" w:line="1" w:lineRule="exact"/>
        <w:rPr>
          <w:rFonts w:ascii="Arial" w:cs="Arial" w:eastAsia="Arial" w:hAnsi="Arial"/>
          <w:sz w:val="18"/>
          <w:szCs w:val="18"/>
          <w:color w:val="auto"/>
        </w:rPr>
      </w:pPr>
    </w:p>
    <w:p>
      <w:pPr>
        <w:ind w:left="580" w:hanging="438"/>
        <w:spacing w:after="0" w:line="24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Floating rate instruments accrue interest at a predetermined spread relative to an index, typically the LIBOR or PRIME rate. These instruments are often subject to a LIBOR or PRIME rate floor.</w:t>
      </w: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 Level 1 investment.</w:t>
      </w:r>
    </w:p>
    <w:p>
      <w:pPr>
        <w:spacing w:after="0" w:line="8" w:lineRule="exact"/>
        <w:rPr>
          <w:rFonts w:ascii="Arial" w:cs="Arial" w:eastAsia="Arial" w:hAnsi="Arial"/>
          <w:sz w:val="18"/>
          <w:szCs w:val="18"/>
          <w:color w:val="auto"/>
        </w:rPr>
      </w:pPr>
    </w:p>
    <w:p>
      <w:pPr>
        <w:ind w:left="580" w:right="120" w:hanging="438"/>
        <w:spacing w:after="0" w:line="24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SLR Equipment Finance is held through NEFCORP LLC, a wholly-owned consolidated taxable subsidiary and NEFPASS LLC, a wholly-owned consolidated subsidiary.</w:t>
      </w: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an investment that is wholly held by the Company through NEFPASS LLC.</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is paid in kind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Denotes a subsidiary of SLR Equipment Finance.</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OmniGuide Holdings, Inc., Domain Surgical, Inc. and OmniGuide, Inc. are co-borrowers.</w:t>
      </w:r>
    </w:p>
    <w:p>
      <w:pPr>
        <w:spacing w:after="0" w:line="8" w:lineRule="exact"/>
        <w:rPr>
          <w:rFonts w:ascii="Arial" w:cs="Arial" w:eastAsia="Arial" w:hAnsi="Arial"/>
          <w:sz w:val="18"/>
          <w:szCs w:val="18"/>
          <w:color w:val="auto"/>
        </w:rPr>
      </w:pPr>
    </w:p>
    <w:p>
      <w:pPr>
        <w:ind w:left="580" w:right="200" w:hanging="438"/>
        <w:spacing w:after="0" w:line="24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AmeriMark Interactive, LLC, AmeriMark Direct LLC, AmeriMark Intermediate Sub, Inc., L.T.D. Commodities LLC, Dr. Leonard’s Healthcare Corp. and Amerimark Intermediate Holdings, LLC are each co-Borrowers.</w:t>
      </w: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Spread is 6.00% Cash / 2.00%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Spread is 2.50% Cash / 12.50% PIK.</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Spread is 5.50% Cash / 0.50% PIK.</w:t>
      </w:r>
    </w:p>
    <w:p>
      <w:pPr>
        <w:spacing w:after="0" w:line="8" w:lineRule="exact"/>
        <w:rPr>
          <w:sz w:val="20"/>
          <w:szCs w:val="20"/>
          <w:color w:val="auto"/>
        </w:rPr>
      </w:pPr>
    </w:p>
    <w:p>
      <w:pPr>
        <w:ind w:left="140" w:right="7940" w:firstLine="2"/>
        <w:spacing w:after="0" w:line="287" w:lineRule="auto"/>
        <w:tabs>
          <w:tab w:leader="none" w:pos="57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Non-income producing security. ** Investment is on non-accrual status.</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8"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Percentage of Total</w:t>
            </w:r>
          </w:p>
        </w:tc>
        <w:tc>
          <w:tcPr>
            <w:tcW w:w="0" w:type="dxa"/>
            <w:vAlign w:val="bottom"/>
          </w:tcPr>
          <w:p>
            <w:pPr>
              <w:spacing w:after="0"/>
              <w:rPr>
                <w:sz w:val="1"/>
                <w:szCs w:val="1"/>
                <w:color w:val="auto"/>
              </w:rPr>
            </w:pPr>
          </w:p>
        </w:tc>
      </w:tr>
      <w:tr>
        <w:trPr>
          <w:trHeight w:val="148"/>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Industry Classification</w:t>
            </w:r>
          </w:p>
        </w:tc>
        <w:tc>
          <w:tcPr>
            <w:tcW w:w="7800" w:type="dxa"/>
            <w:vAlign w:val="bottom"/>
            <w:vMerge w:val="restart"/>
          </w:tcPr>
          <w:p>
            <w:pPr>
              <w:spacing w:after="0"/>
              <w:rPr>
                <w:sz w:val="12"/>
                <w:szCs w:val="12"/>
                <w:color w:val="auto"/>
              </w:rPr>
            </w:pPr>
          </w:p>
        </w:tc>
        <w:tc>
          <w:tcPr>
            <w:tcW w:w="1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Investments (at fair value) as</w:t>
            </w:r>
          </w:p>
        </w:tc>
        <w:tc>
          <w:tcPr>
            <w:tcW w:w="0" w:type="dxa"/>
            <w:vAlign w:val="bottom"/>
          </w:tcPr>
          <w:p>
            <w:pPr>
              <w:spacing w:after="0"/>
              <w:rPr>
                <w:sz w:val="1"/>
                <w:szCs w:val="1"/>
                <w:color w:val="auto"/>
              </w:rPr>
            </w:pPr>
          </w:p>
        </w:tc>
      </w:tr>
      <w:tr>
        <w:trPr>
          <w:trHeight w:val="177"/>
        </w:trPr>
        <w:tc>
          <w:tcPr>
            <w:tcW w:w="1400" w:type="dxa"/>
            <w:vAlign w:val="bottom"/>
            <w:tcBorders>
              <w:bottom w:val="single" w:sz="8" w:color="auto"/>
            </w:tcBorders>
            <w:vMerge w:val="continue"/>
          </w:tcPr>
          <w:p>
            <w:pPr>
              <w:spacing w:after="0"/>
              <w:rPr>
                <w:sz w:val="15"/>
                <w:szCs w:val="15"/>
                <w:color w:val="auto"/>
              </w:rPr>
            </w:pPr>
          </w:p>
        </w:tc>
        <w:tc>
          <w:tcPr>
            <w:tcW w:w="7800" w:type="dxa"/>
            <w:vAlign w:val="bottom"/>
            <w:vMerge w:val="continue"/>
          </w:tcPr>
          <w:p>
            <w:pPr>
              <w:spacing w:after="0"/>
              <w:rPr>
                <w:sz w:val="15"/>
                <w:szCs w:val="15"/>
                <w:color w:val="auto"/>
              </w:rPr>
            </w:pPr>
          </w:p>
        </w:tc>
        <w:tc>
          <w:tcPr>
            <w:tcW w:w="17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2"/>
              </w:rPr>
              <w:t>of December 31, 2021</w:t>
            </w:r>
          </w:p>
        </w:tc>
        <w:tc>
          <w:tcPr>
            <w:tcW w:w="0" w:type="dxa"/>
            <w:vAlign w:val="bottom"/>
          </w:tcPr>
          <w:p>
            <w:pPr>
              <w:spacing w:after="0"/>
              <w:rPr>
                <w:sz w:val="1"/>
                <w:szCs w:val="1"/>
                <w:color w:val="auto"/>
              </w:rPr>
            </w:pPr>
          </w:p>
        </w:tc>
      </w:tr>
      <w:tr>
        <w:trPr>
          <w:trHeight w:val="174"/>
        </w:trPr>
        <w:tc>
          <w:tcPr>
            <w:tcW w:w="9200" w:type="dxa"/>
            <w:vAlign w:val="bottom"/>
            <w:tcBorders>
              <w:top w:val="single" w:sz="8" w:color="CCEEFF"/>
            </w:tcBorders>
            <w:gridSpan w:val="2"/>
            <w:shd w:val="clear" w:color="auto" w:fill="CCEEFF"/>
          </w:tcPr>
          <w:p>
            <w:pPr>
              <w:spacing w:after="0" w:line="174" w:lineRule="exact"/>
              <w:rPr>
                <w:sz w:val="20"/>
                <w:szCs w:val="20"/>
                <w:color w:val="auto"/>
              </w:rPr>
            </w:pPr>
            <w:r>
              <w:rPr>
                <w:rFonts w:ascii="Arial" w:cs="Arial" w:eastAsia="Arial" w:hAnsi="Arial"/>
                <w:sz w:val="18"/>
                <w:szCs w:val="18"/>
                <w:color w:val="auto"/>
              </w:rPr>
              <w:t>Multi-Sector Holdings (includes Kingsbridge Holdings, LLC, SLR Equipment Finance, Equipment</w:t>
            </w:r>
          </w:p>
        </w:tc>
        <w:tc>
          <w:tcPr>
            <w:tcW w:w="1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 LLC and Loyer Capital LLC)</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24.8%</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Diversified Financial Services (includes SLR Credit Solutions)</w:t>
            </w: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20.7%</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 Care Providers &amp; Services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Pharmaceuticals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Health Care Equipment &amp; Supplies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Biotechnology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Wireless Telecommunication Services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Products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Road &amp; Rail</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 Services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Diversified Consumer Services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Commercial Services &amp; Supplies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Markets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Auto Parts &amp; Equipment</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Internet &amp; Catalog Retail</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Packaged Foods &amp; Meats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Sciences Tools &amp; Services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Communications Equipment</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Specialty Retail</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Auto Components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Airlines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Health Care Technology</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Aerospace &amp; Defense</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Hotels, Restaurants &amp; Leisure</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Finance</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Air Freight &amp; Logistics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Equipment &amp; Services</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5"/>
        </w:trPr>
        <w:tc>
          <w:tcPr>
            <w:tcW w:w="9200" w:type="dxa"/>
            <w:vAlign w:val="bottom"/>
            <w:gridSpan w:val="2"/>
          </w:tcPr>
          <w:p>
            <w:pPr>
              <w:spacing w:after="0"/>
              <w:rPr>
                <w:sz w:val="20"/>
                <w:szCs w:val="20"/>
                <w:color w:val="auto"/>
              </w:rPr>
            </w:pPr>
            <w:r>
              <w:rPr>
                <w:rFonts w:ascii="Arial" w:cs="Arial" w:eastAsia="Arial" w:hAnsi="Arial"/>
                <w:sz w:val="18"/>
                <w:szCs w:val="18"/>
                <w:color w:val="auto"/>
              </w:rPr>
              <w:t>Oil, Gas &amp; Consumable Fuels</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&amp; Engineering</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Containers &amp; Packaging</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15"/>
        </w:trPr>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notes to consolidated financial statements.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8"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 Organization</w:t>
      </w:r>
    </w:p>
    <w:p>
      <w:pPr>
        <w:spacing w:after="0" w:line="119" w:lineRule="exact"/>
        <w:rPr>
          <w:sz w:val="20"/>
          <w:szCs w:val="20"/>
          <w:color w:val="auto"/>
        </w:rPr>
      </w:pPr>
    </w:p>
    <w:p>
      <w:pPr>
        <w:ind w:left="140" w:firstLine="438"/>
        <w:spacing w:after="0" w:line="275" w:lineRule="auto"/>
        <w:rPr>
          <w:sz w:val="20"/>
          <w:szCs w:val="20"/>
          <w:color w:val="auto"/>
        </w:rPr>
      </w:pPr>
      <w:r>
        <w:rPr>
          <w:rFonts w:ascii="Arial" w:cs="Arial" w:eastAsia="Arial" w:hAnsi="Arial"/>
          <w:sz w:val="18"/>
          <w:szCs w:val="18"/>
          <w:color w:val="auto"/>
        </w:rPr>
        <w:t>Solar Capital LLC, a Maryland limited liability company, was formed in February 2007 and commenced operations on March 13, 2007 with initial capital of $1,200,000 of which 47.04% was funded by affiliated parties.</w:t>
      </w:r>
    </w:p>
    <w:p>
      <w:pPr>
        <w:spacing w:after="0" w:line="171" w:lineRule="exact"/>
        <w:rPr>
          <w:sz w:val="20"/>
          <w:szCs w:val="20"/>
          <w:color w:val="auto"/>
        </w:rPr>
      </w:pPr>
    </w:p>
    <w:p>
      <w:pPr>
        <w:ind w:left="140" w:firstLine="438"/>
        <w:spacing w:after="0" w:line="290" w:lineRule="auto"/>
        <w:rPr>
          <w:sz w:val="20"/>
          <w:szCs w:val="20"/>
          <w:color w:val="auto"/>
        </w:rPr>
      </w:pPr>
      <w:r>
        <w:rPr>
          <w:rFonts w:ascii="Arial" w:cs="Arial" w:eastAsia="Arial" w:hAnsi="Arial"/>
          <w:sz w:val="16"/>
          <w:szCs w:val="16"/>
          <w:color w:val="auto"/>
        </w:rPr>
        <w:t>Immediately prior to our initial public offering, through a series of transactions, SLR Investment Corp. (the “Company”, “we”, “us” or “our”), merged with Solar Capital LLC, leaving SLR Investment Corp. as the surviving entity (the “Pre-IPO Merger”). SLR Investment Corp. issued an aggregate of approximately 26.65 million shares of common stock and $125,000 in senior unsecured notes to the existing Solar Capital LLC unit holders in connection with the Pre-IPO Merger. SLR Investment Corp. had no assets or operations prior to completion of the Pre-IPO Merger and as a result, the historical books and records of Solar Capital LLC have become the books and records of the surviving entity. The number of shares used to calculate weighted average shares for use in computations on a per share basis have been decreased retroactively by a factor of approximately 0.4022 for all periods prior to February 9, 2010. This factor represents the effective impact of the reduction in shares resulting from the Pre-IPO Merger.</w:t>
      </w:r>
    </w:p>
    <w:p>
      <w:pPr>
        <w:spacing w:after="0" w:line="164" w:lineRule="exact"/>
        <w:rPr>
          <w:sz w:val="20"/>
          <w:szCs w:val="20"/>
          <w:color w:val="auto"/>
        </w:rPr>
      </w:pPr>
    </w:p>
    <w:p>
      <w:pPr>
        <w:ind w:left="140" w:right="160" w:firstLine="438"/>
        <w:spacing w:after="0" w:line="295" w:lineRule="auto"/>
        <w:rPr>
          <w:sz w:val="20"/>
          <w:szCs w:val="20"/>
          <w:color w:val="auto"/>
        </w:rPr>
      </w:pPr>
      <w:r>
        <w:rPr>
          <w:rFonts w:ascii="Arial" w:cs="Arial" w:eastAsia="Arial" w:hAnsi="Arial"/>
          <w:sz w:val="16"/>
          <w:szCs w:val="16"/>
          <w:color w:val="auto"/>
        </w:rPr>
        <w:t>SLR Investment Corp., a Maryland corporation formed in November 2007, is a closed-end, externally managed, non-diversified management investment company that has elected to be regulated as a business development company (“BDC”) under the Investment Company Act of 1940, as amended (the “1940 Act”). Furthermore, as the Company is an investment company, it continues to apply the guidance in FASB Accounting Standards Codification (“ASC”) Topic 946. In addition, for U.S. federal income tax purposes, the Company has elected to be treated, and intends to qualify annually, as a regulated investment company (“RIC”) under Subchapter M of the Internal Revenue Code of 1986, as amended (the “Code”).</w:t>
      </w:r>
    </w:p>
    <w:p>
      <w:pPr>
        <w:spacing w:after="0" w:line="159" w:lineRule="exact"/>
        <w:rPr>
          <w:sz w:val="20"/>
          <w:szCs w:val="20"/>
          <w:color w:val="auto"/>
        </w:rPr>
      </w:pPr>
    </w:p>
    <w:p>
      <w:pPr>
        <w:ind w:left="140" w:right="80" w:firstLine="438"/>
        <w:spacing w:after="0" w:line="262" w:lineRule="auto"/>
        <w:rPr>
          <w:sz w:val="20"/>
          <w:szCs w:val="20"/>
          <w:color w:val="auto"/>
        </w:rPr>
      </w:pPr>
      <w:r>
        <w:rPr>
          <w:rFonts w:ascii="Arial" w:cs="Arial" w:eastAsia="Arial" w:hAnsi="Arial"/>
          <w:sz w:val="18"/>
          <w:szCs w:val="18"/>
          <w:color w:val="auto"/>
        </w:rPr>
        <w:t>On February 9, 2010, the Company priced its initial public offering, selling 5.68 million shares of common stock, including the underwriters’ over-allotment, at a price of $18.50 per share. Concurrent with this offering, the Company’s senior management purchased an additional 600,000 shares through a private placement, also at $18.50 per share.</w:t>
      </w:r>
    </w:p>
    <w:p>
      <w:pPr>
        <w:spacing w:after="0" w:line="182" w:lineRule="exact"/>
        <w:rPr>
          <w:sz w:val="20"/>
          <w:szCs w:val="20"/>
          <w:color w:val="auto"/>
        </w:rPr>
      </w:pPr>
    </w:p>
    <w:p>
      <w:pPr>
        <w:ind w:left="140" w:right="180" w:firstLine="438"/>
        <w:spacing w:after="0" w:line="310" w:lineRule="auto"/>
        <w:rPr>
          <w:sz w:val="20"/>
          <w:szCs w:val="20"/>
          <w:color w:val="auto"/>
        </w:rPr>
      </w:pPr>
      <w:r>
        <w:rPr>
          <w:rFonts w:ascii="Arial" w:cs="Arial" w:eastAsia="Arial" w:hAnsi="Arial"/>
          <w:sz w:val="16"/>
          <w:szCs w:val="16"/>
          <w:color w:val="auto"/>
        </w:rPr>
        <w:t>The Company’s investment objective is to maximize both current income and capital appreciation through debt and equity investments. The Company directly and indirectly invests primarily in leveraged middle market companies in the form of senior secured loans, financing leases and to a lesser extent, unsecured loans and equity securities. From time to time, we may also invest in public companies that are thinly traded.</w:t>
      </w:r>
    </w:p>
    <w:p>
      <w:pPr>
        <w:spacing w:after="0" w:line="147" w:lineRule="exact"/>
        <w:rPr>
          <w:sz w:val="20"/>
          <w:szCs w:val="20"/>
          <w:color w:val="auto"/>
        </w:rPr>
      </w:pPr>
    </w:p>
    <w:p>
      <w:pPr>
        <w:ind w:left="140" w:right="180" w:firstLine="438"/>
        <w:spacing w:after="0" w:line="272" w:lineRule="auto"/>
        <w:rPr>
          <w:sz w:val="20"/>
          <w:szCs w:val="20"/>
          <w:color w:val="auto"/>
        </w:rPr>
      </w:pPr>
      <w:r>
        <w:rPr>
          <w:rFonts w:ascii="Arial" w:cs="Arial" w:eastAsia="Arial" w:hAnsi="Arial"/>
          <w:sz w:val="17"/>
          <w:szCs w:val="17"/>
          <w:color w:val="auto"/>
        </w:rPr>
        <w:t>On December 1, 2021, we entered into an Agreement and Plan of Merger (the “Merger Agreement”), with SLR Senior Investment Corp., a Maryland corporation (“SUNS”), Solstice Merger Sub, Inc., a Maryland corporation and our wholly-owned subsidiary (“Merger Sub”), and, solely for the limited purposes set forth therein, SLR Capital Partners, LLC (the “Investment Adviser”). The Merger Agreement provides that, subject to the conditions set forth in the Merger Agreement, Merger Sub will merge with and into SUNS, with SUNS continuing as the surviving company and as SUNS’s wholly-owned subsidiary (the “Merger,”) and, immediately thereafter, SUNS will merge with and into us, with us continuing as the surviving company (together with the Merger, the “Mergers”). See Notes 14 and 15 for additional information.</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9" w:lineRule="exact"/>
        <w:rPr>
          <w:sz w:val="20"/>
          <w:szCs w:val="20"/>
          <w:color w:val="auto"/>
        </w:rPr>
      </w:pPr>
    </w:p>
    <w:p>
      <w:pPr>
        <w:ind w:left="140" w:right="100" w:firstLine="438"/>
        <w:spacing w:after="0" w:line="274" w:lineRule="auto"/>
        <w:rPr>
          <w:sz w:val="20"/>
          <w:szCs w:val="20"/>
          <w:color w:val="auto"/>
        </w:rPr>
      </w:pPr>
      <w:r>
        <w:rPr>
          <w:rFonts w:ascii="Arial" w:cs="Arial" w:eastAsia="Arial" w:hAnsi="Arial"/>
          <w:sz w:val="17"/>
          <w:szCs w:val="17"/>
          <w:color w:val="auto"/>
        </w:rPr>
        <w:t>The accompanying consolidated financial statements have been prepared on the accrual basis of accounting in conformity with U.S. generally accepted accounting principles (“GAAP”), and include the accounts of the Company and certain wholly-owned subsidiaries. The consolidated financial statements reflect all adjustments and reclassifications which, in the opinion of management, are necessary for the fair presentation of the results of the operations and financial condition for the periods presented. All significant intercompany balances and transactions have been eliminated. Certain prior period amounts may have been reclassified to conform to the current period presentation.</w:t>
      </w:r>
    </w:p>
    <w:p>
      <w:pPr>
        <w:spacing w:after="0" w:line="174" w:lineRule="exact"/>
        <w:rPr>
          <w:sz w:val="20"/>
          <w:szCs w:val="20"/>
          <w:color w:val="auto"/>
        </w:rPr>
      </w:pPr>
    </w:p>
    <w:p>
      <w:pPr>
        <w:ind w:left="140" w:right="20" w:firstLine="438"/>
        <w:spacing w:after="0" w:line="253" w:lineRule="auto"/>
        <w:rPr>
          <w:sz w:val="20"/>
          <w:szCs w:val="20"/>
          <w:color w:val="auto"/>
        </w:rPr>
      </w:pPr>
      <w:r>
        <w:rPr>
          <w:rFonts w:ascii="Arial" w:cs="Arial" w:eastAsia="Arial" w:hAnsi="Arial"/>
          <w:sz w:val="18"/>
          <w:szCs w:val="18"/>
          <w:color w:val="auto"/>
        </w:rPr>
        <w:t>Interim consolidated financial statements are prepared in accordance with GAAP for interim financial information and pursuant to the requirements for reporting on Form 10-Q and Regulation S-X, as appropriate. Accordingly, they may not include all of the information and notes required by GAAP for annual consolidated financial statements. GAAP requires management to make estimates and assumptions that affect the reported amount of assets and liabilities at the date of the financial statements and the reported amounts of income and expenses during the reported periods. Changes in the economic environment, financial markets and any other parameters used in determining these estimates could cause actual results to differ materially. The current period’s results of operations will not necessarily be indicative of results that ultimately may be achieved for the fiscal year ending on December 31, 2022.</w:t>
      </w:r>
    </w:p>
    <w:p>
      <w:pPr>
        <w:spacing w:after="0" w:line="193" w:lineRule="exact"/>
        <w:rPr>
          <w:sz w:val="20"/>
          <w:szCs w:val="20"/>
          <w:color w:val="auto"/>
        </w:rPr>
      </w:pPr>
    </w:p>
    <w:p>
      <w:pPr>
        <w:ind w:left="140" w:right="140" w:firstLine="438"/>
        <w:spacing w:after="0" w:line="275" w:lineRule="auto"/>
        <w:rPr>
          <w:sz w:val="20"/>
          <w:szCs w:val="20"/>
          <w:color w:val="auto"/>
        </w:rPr>
      </w:pPr>
      <w:r>
        <w:rPr>
          <w:rFonts w:ascii="Arial" w:cs="Arial" w:eastAsia="Arial" w:hAnsi="Arial"/>
          <w:sz w:val="18"/>
          <w:szCs w:val="18"/>
          <w:color w:val="auto"/>
        </w:rPr>
        <w:t>In the opinion of management, all adjustments, which are of a normal recurring nature, considered necessary for the fair presentation of financial statements, have been included.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significant accounting policies consistently followed by the Company are:</w:t>
      </w:r>
    </w:p>
    <w:p>
      <w:pPr>
        <w:spacing w:after="0" w:line="129" w:lineRule="exact"/>
        <w:rPr>
          <w:sz w:val="20"/>
          <w:szCs w:val="20"/>
          <w:color w:val="auto"/>
        </w:rPr>
      </w:pPr>
    </w:p>
    <w:p>
      <w:pPr>
        <w:ind w:left="1100" w:hanging="528"/>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 transactions are accounted for on the trade date;</w:t>
      </w:r>
    </w:p>
    <w:p>
      <w:pPr>
        <w:spacing w:after="0" w:line="249" w:lineRule="exact"/>
        <w:rPr>
          <w:rFonts w:ascii="Arial" w:cs="Arial" w:eastAsia="Arial" w:hAnsi="Arial"/>
          <w:sz w:val="18"/>
          <w:szCs w:val="18"/>
          <w:color w:val="auto"/>
        </w:rPr>
      </w:pPr>
    </w:p>
    <w:p>
      <w:pPr>
        <w:ind w:left="1100" w:hanging="528"/>
        <w:spacing w:after="0" w:line="267" w:lineRule="auto"/>
        <w:tabs>
          <w:tab w:leader="none" w:pos="1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Under procedures established by the board of directors (the “Board”), we value investments, including certain senior secured debt, subordinated debt and other debt securities with maturities greater than 60 days, for which market quotations are readily available, at such market quotations (unless they are deemed not to represent fair value). We attempt to obtain market quotations from at least two brokers or dealers (if available, otherwise from a principal market maker or a primary market dealer or other independent pricing service). We utilize mid-market pricing as a practical expedient for fair value unless a different point within the range is more representative. If and when market quotations are deemed not to represent fair value, we may utilize independent third-party valuation firms to assist us in determining the fair value of material assets. Accordingly, such investments go through our multi-step valuation process as described below. In each such case, independent valuation firms consider observable market inputs together with significant unobservable inputs in arriving at their valuation recommendations. Debt investments with maturities of 60 days or less shall each be valued at cost plus accreted discount, or minus amortized premium, which is expected to approximate fair value, unless such valuation, in the judgment of the Investment Adviser, does not represent fair value, in which case such investments shall be valued at fair value as determined in good faith by or under the direction of the Board. Investments that are not publicly traded or whose market quotations are not readily available are valued at fair value as determined in good faith by or under the direction of the Board. Such determination of fair values involves subjective judgments and estimates.</w:t>
      </w:r>
    </w:p>
    <w:p>
      <w:pPr>
        <w:spacing w:after="0" w:line="180" w:lineRule="exact"/>
        <w:rPr>
          <w:rFonts w:ascii="Arial" w:cs="Arial" w:eastAsia="Arial" w:hAnsi="Arial"/>
          <w:sz w:val="17"/>
          <w:szCs w:val="17"/>
          <w:color w:val="auto"/>
        </w:rPr>
      </w:pPr>
    </w:p>
    <w:p>
      <w:pPr>
        <w:ind w:left="1120" w:right="480"/>
        <w:spacing w:after="0" w:line="305" w:lineRule="auto"/>
        <w:rPr>
          <w:rFonts w:ascii="Arial" w:cs="Arial" w:eastAsia="Arial" w:hAnsi="Arial"/>
          <w:sz w:val="17"/>
          <w:szCs w:val="17"/>
          <w:color w:val="auto"/>
        </w:rPr>
      </w:pPr>
      <w:r>
        <w:rPr>
          <w:rFonts w:ascii="Arial" w:cs="Arial" w:eastAsia="Arial" w:hAnsi="Arial"/>
          <w:sz w:val="17"/>
          <w:szCs w:val="17"/>
          <w:color w:val="auto"/>
        </w:rPr>
        <w:t>With respect to investments for which market quotations are not readily available or when such market quotations are deemed not to represent fair value, the Board has approved a multi-step valuation process each quarter, as described below:</w:t>
      </w:r>
    </w:p>
    <w:p>
      <w:pPr>
        <w:spacing w:after="0" w:line="54" w:lineRule="exact"/>
        <w:rPr>
          <w:rFonts w:ascii="Arial" w:cs="Arial" w:eastAsia="Arial" w:hAnsi="Arial"/>
          <w:sz w:val="17"/>
          <w:szCs w:val="17"/>
          <w:color w:val="auto"/>
        </w:rPr>
      </w:pPr>
    </w:p>
    <w:p>
      <w:pPr>
        <w:ind w:left="2100" w:right="240" w:hanging="534"/>
        <w:spacing w:after="0" w:line="275" w:lineRule="auto"/>
        <w:tabs>
          <w:tab w:leader="none" w:pos="2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6" w:lineRule="exact"/>
        <w:rPr>
          <w:rFonts w:ascii="Arial" w:cs="Arial" w:eastAsia="Arial" w:hAnsi="Arial"/>
          <w:sz w:val="18"/>
          <w:szCs w:val="18"/>
          <w:color w:val="auto"/>
        </w:rPr>
      </w:pPr>
    </w:p>
    <w:p>
      <w:pPr>
        <w:ind w:left="2100" w:hanging="534"/>
        <w:spacing w:after="0"/>
        <w:tabs>
          <w:tab w:leader="none" w:pos="2100" w:val="left"/>
        </w:tabs>
        <w:numPr>
          <w:ilvl w:val="1"/>
          <w:numId w:val="9"/>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senior management of the Investment Adviser;</w:t>
      </w:r>
    </w:p>
    <w:p>
      <w:pPr>
        <w:spacing w:after="0" w:line="151" w:lineRule="exact"/>
        <w:rPr>
          <w:rFonts w:ascii="Arial" w:cs="Arial" w:eastAsia="Arial" w:hAnsi="Arial"/>
          <w:sz w:val="16"/>
          <w:szCs w:val="16"/>
          <w:color w:val="auto"/>
        </w:rPr>
      </w:pPr>
    </w:p>
    <w:p>
      <w:pPr>
        <w:ind w:left="2100" w:right="420" w:hanging="534"/>
        <w:spacing w:after="0" w:line="305" w:lineRule="auto"/>
        <w:tabs>
          <w:tab w:leader="none" w:pos="2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independent valuation firms engaged by the Board conduct independent appraisals and review the Investment Adviser’s preliminary valuations and make their own independent assessment for all material assets;</w:t>
      </w:r>
    </w:p>
    <w:p>
      <w:pPr>
        <w:spacing w:after="0" w:line="54" w:lineRule="exact"/>
        <w:rPr>
          <w:rFonts w:ascii="Arial" w:cs="Arial" w:eastAsia="Arial" w:hAnsi="Arial"/>
          <w:sz w:val="17"/>
          <w:szCs w:val="17"/>
          <w:color w:val="auto"/>
        </w:rPr>
      </w:pPr>
    </w:p>
    <w:p>
      <w:pPr>
        <w:ind w:left="2100" w:right="280" w:hanging="534"/>
        <w:spacing w:after="0" w:line="262" w:lineRule="auto"/>
        <w:tabs>
          <w:tab w:leader="none" w:pos="2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audit committee of the Board reviews the preliminary valuation of the Investment Adviser and that of the independent valuation firm and responds to the valuation recommendation of the independent valuation firm, if any, to reflect any comments; and</w:t>
      </w:r>
    </w:p>
    <w:p>
      <w:pPr>
        <w:spacing w:after="0" w:line="88" w:lineRule="exact"/>
        <w:rPr>
          <w:rFonts w:ascii="Arial" w:cs="Arial" w:eastAsia="Arial" w:hAnsi="Arial"/>
          <w:sz w:val="18"/>
          <w:szCs w:val="18"/>
          <w:color w:val="auto"/>
        </w:rPr>
      </w:pPr>
    </w:p>
    <w:p>
      <w:pPr>
        <w:ind w:left="2100" w:right="240" w:hanging="534"/>
        <w:spacing w:after="0" w:line="305" w:lineRule="auto"/>
        <w:tabs>
          <w:tab w:leader="none" w:pos="21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Board discusses valuations and determines the fair value of each investment in our portfolio in good faith based on the input of the Investment Adviser, the respective independent valuation firm, if any, and the audit committee.</w:t>
      </w:r>
    </w:p>
    <w:p>
      <w:pPr>
        <w:spacing w:after="0" w:line="148" w:lineRule="exact"/>
        <w:rPr>
          <w:sz w:val="20"/>
          <w:szCs w:val="20"/>
          <w:color w:val="auto"/>
        </w:rPr>
      </w:pPr>
    </w:p>
    <w:p>
      <w:pPr>
        <w:ind w:left="1120"/>
        <w:spacing w:after="0" w:line="285" w:lineRule="auto"/>
        <w:rPr>
          <w:sz w:val="20"/>
          <w:szCs w:val="20"/>
          <w:color w:val="auto"/>
        </w:rPr>
      </w:pPr>
      <w:r>
        <w:rPr>
          <w:rFonts w:ascii="Arial" w:cs="Arial" w:eastAsia="Arial" w:hAnsi="Arial"/>
          <w:sz w:val="16"/>
          <w:szCs w:val="16"/>
          <w:color w:val="auto"/>
        </w:rPr>
        <w:t>Investments in all asset classes are valued utilizing a market approach, an income approach, or both approaches, as appropriate. However, in accordance with ASC 820-10, certain investments that qualify as investment companies in accordance with ASC 946, may be valued using net asset value as a practical expedient for fair value. The market approach uses prices and other relevant information generated by market transactions involving identical or comparable assets or liabilities (including a business). The income approach uses valuation approaches to convert future amounts (for example, cash flows or earnings) to a single present amount (discounted). The measurement is based on the value indicated by current market expectations about those future amounts. In following these approaches, the types of factors that we may take into account in fair value pricing our investments include, as relevant: available current market data, including relevant and applicable market trading and transaction comparables, applicable market yields and multiples, security covenants, call protection provisions, the nature and realizable value of any collateral, the portfolio company’s ability to make payments, its earnings and discounted cash flows, the markets in which the portfolio company does business, comparisons of financial ratios of peer companies that are public, M&amp;A comparables, our principal market (as the reporting entity) and enterprise values, among other factors. When available, broker quotations and/or quotations provided by pricing services are considered as an input in the valuation process. For the three months ended March 31, 2022, there has been no change to the Company’s valuation approaches or techniques and the nature of the related inputs considered in the valuation process.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8"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Topic 820 classifies the inputs used to measure these fair values into the following hierarchy:</w:t>
      </w:r>
    </w:p>
    <w:p>
      <w:pPr>
        <w:spacing w:after="0" w:line="115" w:lineRule="exact"/>
        <w:rPr>
          <w:sz w:val="20"/>
          <w:szCs w:val="20"/>
          <w:color w:val="auto"/>
        </w:rPr>
      </w:pPr>
    </w:p>
    <w:p>
      <w:pPr>
        <w:ind w:left="1560" w:right="40"/>
        <w:spacing w:after="0" w:line="275"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 accessible by the Company at the measurement date.</w:t>
      </w:r>
    </w:p>
    <w:p>
      <w:pPr>
        <w:spacing w:after="0" w:line="63" w:lineRule="exact"/>
        <w:rPr>
          <w:sz w:val="20"/>
          <w:szCs w:val="20"/>
          <w:color w:val="auto"/>
        </w:rPr>
      </w:pPr>
    </w:p>
    <w:p>
      <w:pPr>
        <w:ind w:left="1560" w:right="20"/>
        <w:spacing w:after="0" w:line="275"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Quoted prices for similar assets or liabilities in active markets, or quoted prices for identical or similar assets or liabilities in markets that are not active, or other observable inputs other than quoted prices.</w:t>
      </w:r>
    </w:p>
    <w:p>
      <w:pPr>
        <w:spacing w:after="0" w:line="63" w:lineRule="exact"/>
        <w:rPr>
          <w:sz w:val="20"/>
          <w:szCs w:val="20"/>
          <w:color w:val="auto"/>
        </w:rPr>
      </w:pPr>
    </w:p>
    <w:p>
      <w:pPr>
        <w:ind w:left="152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for the asset or liability.</w:t>
      </w:r>
    </w:p>
    <w:p>
      <w:pPr>
        <w:spacing w:after="0" w:line="115" w:lineRule="exact"/>
        <w:rPr>
          <w:sz w:val="20"/>
          <w:szCs w:val="20"/>
          <w:color w:val="auto"/>
        </w:rPr>
      </w:pPr>
    </w:p>
    <w:p>
      <w:pPr>
        <w:ind w:left="1120" w:right="180"/>
        <w:spacing w:after="0" w:line="258" w:lineRule="auto"/>
        <w:rPr>
          <w:sz w:val="20"/>
          <w:szCs w:val="20"/>
          <w:color w:val="auto"/>
        </w:rPr>
      </w:pPr>
      <w:r>
        <w:rPr>
          <w:rFonts w:ascii="Arial" w:cs="Arial" w:eastAsia="Arial" w:hAnsi="Arial"/>
          <w:sz w:val="18"/>
          <w:szCs w:val="18"/>
          <w:color w:val="auto"/>
        </w:rPr>
        <w:t>In all cases, the level in the fair value hierarchy within which the fair value measurement in its entirety falls is determined based on the lowest level of input that is significant to the fair value measurement. Our assessment of the significance of a particular input to the fair value measurement in its entirety requires judgment and considers factors specific to each investment. The exercise of judgment is based in part on our knowledge of the asset class and our prior experience.</w:t>
      </w:r>
    </w:p>
    <w:p>
      <w:pPr>
        <w:spacing w:after="0" w:line="212" w:lineRule="exact"/>
        <w:rPr>
          <w:sz w:val="20"/>
          <w:szCs w:val="20"/>
          <w:color w:val="auto"/>
        </w:rPr>
      </w:pPr>
    </w:p>
    <w:p>
      <w:pPr>
        <w:ind w:left="1100" w:hanging="528"/>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Gains or losses on investments are calculated by using the specific identification method.</w:t>
      </w:r>
    </w:p>
    <w:p>
      <w:pPr>
        <w:spacing w:after="0" w:line="249" w:lineRule="exact"/>
        <w:rPr>
          <w:rFonts w:ascii="Arial" w:cs="Arial" w:eastAsia="Arial" w:hAnsi="Arial"/>
          <w:sz w:val="18"/>
          <w:szCs w:val="18"/>
          <w:color w:val="auto"/>
        </w:rPr>
      </w:pPr>
    </w:p>
    <w:p>
      <w:pPr>
        <w:ind w:left="1100" w:hanging="528"/>
        <w:spacing w:after="0" w:line="254"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records dividend income and interest, adjusted for amortization of premium and accretion of discount, on an accrual basis. Loan origination fees, original issue discount, and market discounts are capitalized and we amortize such amounts into income using the effective interest method. Upon the prepayment of a loan, any unamortized loan origination fees are recorded as interest income. We record call premiums received on loans repaid as interest income when we receive such amounts. Capital structuring fees, amendment fees, consent fees, and any other non-recurring fee income as well as management fee and other fee income for services rendered, if any, are recorded as other income when earned.</w:t>
      </w:r>
    </w:p>
    <w:p>
      <w:pPr>
        <w:spacing w:after="0" w:line="217" w:lineRule="exact"/>
        <w:rPr>
          <w:rFonts w:ascii="Arial" w:cs="Arial" w:eastAsia="Arial" w:hAnsi="Arial"/>
          <w:sz w:val="18"/>
          <w:szCs w:val="18"/>
          <w:color w:val="auto"/>
        </w:rPr>
      </w:pPr>
    </w:p>
    <w:p>
      <w:pPr>
        <w:ind w:left="1100" w:right="220" w:hanging="528"/>
        <w:spacing w:after="0" w:line="258"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intends to comply with the applicable provisions of the Code pertaining to regulated investment companies to make distributions of taxable income sufficient to relieve it of substantially all U.S. federal income taxes. The Company, at its discretion, may carry forward taxable income in excess of calendar year distributions and pay a 4% excise tax on this income. The Company will accrue excise tax on such estimated excess taxable income as appropriate.</w:t>
      </w:r>
    </w:p>
    <w:p>
      <w:pPr>
        <w:spacing w:after="0" w:line="211" w:lineRule="exact"/>
        <w:rPr>
          <w:rFonts w:ascii="Arial" w:cs="Arial" w:eastAsia="Arial" w:hAnsi="Arial"/>
          <w:sz w:val="18"/>
          <w:szCs w:val="18"/>
          <w:color w:val="auto"/>
        </w:rPr>
      </w:pPr>
    </w:p>
    <w:p>
      <w:pPr>
        <w:ind w:left="1100" w:right="80" w:hanging="528"/>
        <w:spacing w:after="0" w:line="262"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Book and tax basis differences relating to stockholder distributions and other permanent book and tax differences are typically reclassified among the Company’s capital accounts annually. In addition, the character of income and gains to be distributed is determined in accordance with income tax regulations that may differ from GAAP.</w:t>
      </w:r>
    </w:p>
    <w:p>
      <w:pPr>
        <w:spacing w:after="0" w:line="208" w:lineRule="exact"/>
        <w:rPr>
          <w:rFonts w:ascii="Arial" w:cs="Arial" w:eastAsia="Arial" w:hAnsi="Arial"/>
          <w:sz w:val="18"/>
          <w:szCs w:val="18"/>
          <w:color w:val="auto"/>
        </w:rPr>
      </w:pPr>
    </w:p>
    <w:p>
      <w:pPr>
        <w:ind w:left="1100" w:right="160" w:hanging="528"/>
        <w:spacing w:after="0" w:line="275"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Distributions to common stockholders are recorded as of the record date. The amount to be paid out as a distribution is determined by the Board. Net realized capital gains, if any, are generally distributed or deemed distributed at least annually.</w:t>
      </w:r>
    </w:p>
    <w:p>
      <w:pPr>
        <w:spacing w:after="0" w:line="197" w:lineRule="exact"/>
        <w:rPr>
          <w:rFonts w:ascii="Arial" w:cs="Arial" w:eastAsia="Arial" w:hAnsi="Arial"/>
          <w:sz w:val="18"/>
          <w:szCs w:val="18"/>
          <w:color w:val="auto"/>
        </w:rPr>
      </w:pPr>
    </w:p>
    <w:p>
      <w:pPr>
        <w:ind w:left="1100" w:right="20" w:hanging="528"/>
        <w:spacing w:after="0" w:line="258"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Regulation S-X and ASC Topic 810—</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its interest in controlled investment company subsidiaries, financing subsidiaries and certain wholly-owned holding companies that serve to facilitate investment in portfolio companies. In addition, the Company may also consolidate any controlled operating companies substantially all of whose business consists of providing services to the Company.</w:t>
      </w:r>
    </w:p>
    <w:p>
      <w:pPr>
        <w:spacing w:after="0" w:line="211" w:lineRule="exact"/>
        <w:rPr>
          <w:rFonts w:ascii="Arial" w:cs="Arial" w:eastAsia="Arial" w:hAnsi="Arial"/>
          <w:sz w:val="18"/>
          <w:szCs w:val="18"/>
          <w:color w:val="auto"/>
        </w:rPr>
      </w:pPr>
    </w:p>
    <w:p>
      <w:pPr>
        <w:ind w:left="1100" w:right="120" w:hanging="528"/>
        <w:spacing w:after="0" w:line="288"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accounting records of the Company are maintained in U.S. dollars. Any assets and liabilities denominated in foreign currencies are translated into U.S. dollars based on the rate of exchange of such currencies against U.S. dollars on the date of valuation. The Company will not isolate that portion of the results of operations resulting from changes in foreign exchange rates on investments from the fluctuations arising from changes in market prices of securities held. Such fluctuations would be included with the net unrealized gain or loss from investments. The Company’s investments in foreign securities, if any, may involve certain risks, including without limitation: foreign exchange restrictions, expropriation, taxation or other political, social or economic risks, all of which could affect the market and/or credit risk of the investment. In addition, changes in the relationship of foreign currencies to the U.S. dollar can significantly affect the value of these investments in terms of U.S. dollars and therefore the earnings of the Company.</w:t>
      </w:r>
    </w:p>
    <w:p>
      <w:pPr>
        <w:spacing w:after="0" w:line="195" w:lineRule="exact"/>
        <w:rPr>
          <w:rFonts w:ascii="Arial" w:cs="Arial" w:eastAsia="Arial" w:hAnsi="Arial"/>
          <w:sz w:val="16"/>
          <w:szCs w:val="16"/>
          <w:color w:val="auto"/>
        </w:rPr>
      </w:pPr>
    </w:p>
    <w:p>
      <w:pPr>
        <w:ind w:left="1100" w:right="800" w:hanging="528"/>
        <w:spacing w:after="0" w:line="275"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made elections to apply the fair value option of accounting to the unsecured senior notes due 2022 (the “2022 Unsecured Notes”) (see Notes 6 and 7), in accordance with ASC 825-10.</w:t>
      </w:r>
    </w:p>
    <w:p>
      <w:pPr>
        <w:spacing w:after="0" w:line="197" w:lineRule="exact"/>
        <w:rPr>
          <w:rFonts w:ascii="Arial" w:cs="Arial" w:eastAsia="Arial" w:hAnsi="Arial"/>
          <w:sz w:val="18"/>
          <w:szCs w:val="18"/>
          <w:color w:val="auto"/>
        </w:rPr>
      </w:pPr>
    </w:p>
    <w:p>
      <w:pPr>
        <w:ind w:left="1100" w:right="20" w:hanging="528"/>
        <w:spacing w:after="0" w:line="258"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accordance with ASC 835-30, the Company reports origination and other expenses related to certain debt issuances as a direct deduction from the carrying amount of the debt liability. Applicable expenses are deferred and amortized using either the effective interest method or the straight-line method over the stated life. The straight-line method may be used on revolving facilities and/or when it approximates the effective yield method.</w:t>
      </w:r>
    </w:p>
    <w:p>
      <w:pPr>
        <w:sectPr>
          <w:pgSz w:w="11900" w:h="16838" w:orient="portrait"/>
          <w:cols w:equalWidth="0" w:num="1">
            <w:col w:w="11100"/>
          </w:cols>
          <w:pgMar w:left="320" w:top="458" w:right="47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00"/>
          </w:cols>
          <w:pgMar w:left="320" w:top="458" w:right="4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amounts)</w:t>
      </w:r>
    </w:p>
    <w:p>
      <w:pPr>
        <w:spacing w:after="0" w:line="235" w:lineRule="exact"/>
        <w:rPr>
          <w:sz w:val="20"/>
          <w:szCs w:val="20"/>
          <w:color w:val="auto"/>
        </w:rPr>
      </w:pPr>
    </w:p>
    <w:p>
      <w:pPr>
        <w:ind w:left="1100" w:right="60" w:hanging="528"/>
        <w:spacing w:after="0" w:line="262"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enter into forward exchange contracts in order to hedge against foreign currency risk. These contracts are marked-to-market by recognizing the difference between the contract exchange rate and the current market rate as unrealized appreciation or depreciation. Realized gains or losses are recognized when contracts are settled.</w:t>
      </w:r>
    </w:p>
    <w:p>
      <w:pPr>
        <w:spacing w:after="0" w:line="208" w:lineRule="exact"/>
        <w:rPr>
          <w:rFonts w:ascii="Arial" w:cs="Arial" w:eastAsia="Arial" w:hAnsi="Arial"/>
          <w:sz w:val="18"/>
          <w:szCs w:val="18"/>
          <w:color w:val="auto"/>
        </w:rPr>
      </w:pPr>
    </w:p>
    <w:p>
      <w:pPr>
        <w:ind w:left="1100" w:right="540" w:hanging="528"/>
        <w:spacing w:after="0" w:line="378" w:lineRule="auto"/>
        <w:tabs>
          <w:tab w:leader="none" w:pos="11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records expenses related to shelf registration statements and applicable equity offering costs as prepaid assets. These expenses are typically charged as a reduction of capital upon the sale of shares or expensed, in accordance with ASC 946-20-25.</w:t>
      </w:r>
    </w:p>
    <w:p>
      <w:pPr>
        <w:spacing w:after="0" w:line="128" w:lineRule="exact"/>
        <w:rPr>
          <w:rFonts w:ascii="Arial" w:cs="Arial" w:eastAsia="Arial" w:hAnsi="Arial"/>
          <w:sz w:val="15"/>
          <w:szCs w:val="15"/>
          <w:color w:val="auto"/>
        </w:rPr>
      </w:pPr>
    </w:p>
    <w:p>
      <w:pPr>
        <w:ind w:left="1100" w:right="120" w:hanging="528"/>
        <w:spacing w:after="0" w:line="254"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that are expected to pay regularly scheduled interest in cash are generally placed on non-accrual status when principal or interest cash payments are past due 30 days or more (90 days or more for equipment financing) and/or when it is no longer probable that principal or interest cash payments will be collected. Such non-accrual investments are restored to accrual status if past due principal and interest are paid in cash, and in management’s judgment, are likely to continue timely payment of their remaining principal and interest obligations. Cash interest payments received on such investments may be recognized as income or applied to principal depending on management’s judgment.</w:t>
      </w:r>
    </w:p>
    <w:p>
      <w:pPr>
        <w:spacing w:after="0" w:line="217" w:lineRule="exact"/>
        <w:rPr>
          <w:rFonts w:ascii="Arial" w:cs="Arial" w:eastAsia="Arial" w:hAnsi="Arial"/>
          <w:sz w:val="18"/>
          <w:szCs w:val="18"/>
          <w:color w:val="auto"/>
        </w:rPr>
      </w:pPr>
    </w:p>
    <w:p>
      <w:pPr>
        <w:ind w:left="1100" w:hanging="528"/>
        <w:spacing w:after="0" w:line="277" w:lineRule="auto"/>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defines cash equivalents as securities that are readily convertible into known amounts of cash and so near their maturity that they present insignificant risk of changes in value because of changes in interest rates. Generally, only securities with a maturity of three months or less would qualify, with limited exceptions. The Company believes that certain U.S. Treasury bills, repurchase agreements and other high-quality, short-term debt securities would qualify as cash equivalents.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Recent Accounting Pronouncements</w:t>
      </w:r>
    </w:p>
    <w:p>
      <w:pPr>
        <w:spacing w:after="0" w:line="223" w:lineRule="exact"/>
        <w:rPr>
          <w:sz w:val="20"/>
          <w:szCs w:val="20"/>
          <w:color w:val="auto"/>
        </w:rPr>
      </w:pPr>
    </w:p>
    <w:p>
      <w:pPr>
        <w:ind w:left="580" w:right="140"/>
        <w:spacing w:after="0" w:line="254" w:lineRule="auto"/>
        <w:rPr>
          <w:sz w:val="20"/>
          <w:szCs w:val="20"/>
          <w:color w:val="auto"/>
        </w:rPr>
      </w:pPr>
      <w:r>
        <w:rPr>
          <w:rFonts w:ascii="Arial" w:cs="Arial" w:eastAsia="Arial" w:hAnsi="Arial"/>
          <w:sz w:val="18"/>
          <w:szCs w:val="18"/>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458"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3. Agreements</w:t>
      </w:r>
    </w:p>
    <w:p>
      <w:pPr>
        <w:spacing w:after="0" w:line="119" w:lineRule="exact"/>
        <w:rPr>
          <w:sz w:val="20"/>
          <w:szCs w:val="20"/>
          <w:color w:val="auto"/>
        </w:rPr>
      </w:pPr>
    </w:p>
    <w:p>
      <w:pPr>
        <w:ind w:left="140" w:firstLine="438"/>
        <w:spacing w:after="0" w:line="287" w:lineRule="auto"/>
        <w:rPr>
          <w:sz w:val="20"/>
          <w:szCs w:val="20"/>
          <w:color w:val="auto"/>
        </w:rPr>
      </w:pPr>
      <w:r>
        <w:rPr>
          <w:rFonts w:ascii="Arial" w:cs="Arial" w:eastAsia="Arial" w:hAnsi="Arial"/>
          <w:sz w:val="16"/>
          <w:szCs w:val="16"/>
          <w:color w:val="auto"/>
        </w:rPr>
        <w:t>The Company has an investment advisory and management agreement (the “Advisory Agreement”) with the Investment Adviser, under which the Investment Adviser will manage the day-to-day operations of, and provide investment advisory services to the Company. For providing these services, the Investment Adviser receives a fee from the Company, consisting of two components—a base management fee and a performance-based incentive fee. The base management fee is determined by taking the average value of the Company’s gross assets at the end of the two most recently completed calendar quarters calculated at an annual rate of 1.75% on gross assets up to 200% of the Company’s total net assets as of the immediately preceding quarter end and 1.00% on gross assets that exceed 200% of the Company’s total net assets as of the immediately preceding quarter end. For purposes of computing the base management fee, gross assets exclude temporary assets acquired at the end of each fiscal quarter for purposes of preserving investment flexibility in the next fiscal quarter. Temporary assets include, but are not limited to, U.S. treasury bills, other short-term U.S. government or government agency securities, repurchase agreements or cash borrowings.</w:t>
      </w:r>
    </w:p>
    <w:p>
      <w:pPr>
        <w:spacing w:after="0" w:line="170" w:lineRule="exact"/>
        <w:rPr>
          <w:sz w:val="20"/>
          <w:szCs w:val="20"/>
          <w:color w:val="auto"/>
        </w:rPr>
      </w:pPr>
    </w:p>
    <w:p>
      <w:pPr>
        <w:ind w:left="140" w:right="60" w:firstLine="438"/>
        <w:spacing w:after="0" w:line="282" w:lineRule="auto"/>
        <w:rPr>
          <w:sz w:val="20"/>
          <w:szCs w:val="20"/>
          <w:color w:val="auto"/>
        </w:rPr>
      </w:pPr>
      <w:r>
        <w:rPr>
          <w:rFonts w:ascii="Arial" w:cs="Arial" w:eastAsia="Arial" w:hAnsi="Arial"/>
          <w:sz w:val="16"/>
          <w:szCs w:val="16"/>
          <w:color w:val="auto"/>
        </w:rPr>
        <w:t>The performance-based incentive fee has two parts, as follows: one part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the Company’s operating expenses for the quarter (including the base management fee, any expenses payable under the Administration Agreement, and any interest expense and distributions paid on any issued and outstanding preferred stock, but excluding the performance-based incentive fee). Pre-incentive fee net investment income does not include any realized capital gains or losses, or unrealized capital appreciation or depreciation. Pre-incentive fee net investment income, expressed as a rate of return on the value of the Company’s net assets at the end of the immediately preceding calendar quarter, is compared to the hurdle rate of 1.75% per quarter (7% annualized). The Company pays the Investment Adviser a performance-based incentive fee with respect to the Company’s pre-incentive fee net investment income in each calendar quarter as follows:</w:t>
      </w:r>
    </w:p>
    <w:p>
      <w:pPr>
        <w:spacing w:after="0" w:line="3" w:lineRule="exact"/>
        <w:rPr>
          <w:sz w:val="20"/>
          <w:szCs w:val="20"/>
          <w:color w:val="auto"/>
        </w:rPr>
      </w:pPr>
    </w:p>
    <w:p>
      <w:pPr>
        <w:ind w:left="140" w:right="40" w:firstLine="2"/>
        <w:spacing w:after="0" w:line="251" w:lineRule="auto"/>
        <w:tabs>
          <w:tab w:leader="none" w:pos="3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performance-based incentive fee in any calendar quarter in which the Company’s pre-incentive fee net investment income does not exceed the hurdle rate; (2) 100% of the Company’s pre-incentive fee net investment income with respect to that portion of such pre-incentive fee net investment income, if any, that exceeds the hurdle rate but is less than 2.1875% in any calendar quarter; and (3) 20% of the amount of the Company’s pre-incentive fee net investment income, if any, that exceeds 2.1875% in any calendar quarter. These calculations are appropriately pro-rated for any period of less than three months.</w:t>
      </w:r>
    </w:p>
    <w:p>
      <w:pPr>
        <w:spacing w:after="0" w:line="193" w:lineRule="exact"/>
        <w:rPr>
          <w:sz w:val="20"/>
          <w:szCs w:val="20"/>
          <w:color w:val="auto"/>
        </w:rPr>
      </w:pPr>
    </w:p>
    <w:p>
      <w:pPr>
        <w:ind w:left="140" w:right="60" w:firstLine="438"/>
        <w:spacing w:after="0" w:line="292" w:lineRule="auto"/>
        <w:rPr>
          <w:sz w:val="20"/>
          <w:szCs w:val="20"/>
          <w:color w:val="auto"/>
        </w:rPr>
      </w:pPr>
      <w:r>
        <w:rPr>
          <w:rFonts w:ascii="Arial" w:cs="Arial" w:eastAsia="Arial" w:hAnsi="Arial"/>
          <w:sz w:val="16"/>
          <w:szCs w:val="16"/>
          <w:color w:val="auto"/>
        </w:rPr>
        <w:t>The second part of the performance-based incentive fee is determined and payable in arrears as of the end of each calendar year (or upon termination of the Advisory Agreement, as of the termination date), and will equal 20% of the Company’s cumulative realized capital gains less cumulative realized capital losses, unrealized capital depreciation (unrealized depreciation on a gross investment-by-investment basis at the end of each calendar year) and all net capital gains upon which prior performance-based capital gains incentive fee payments were previously made to the Investment Adviser. For financial statement purposes, the second part of the performance-based incentive fee is accrued based upon 20% of cumulative net realized gains and net unrealized capital appreciation. No accrual was required for the three months ended March 31, 2022 and 2021.</w:t>
      </w:r>
    </w:p>
    <w:p>
      <w:pPr>
        <w:spacing w:after="0" w:line="162" w:lineRule="exact"/>
        <w:rPr>
          <w:sz w:val="20"/>
          <w:szCs w:val="20"/>
          <w:color w:val="auto"/>
        </w:rPr>
      </w:pPr>
    </w:p>
    <w:p>
      <w:pPr>
        <w:ind w:left="140" w:right="20" w:firstLine="438"/>
        <w:spacing w:after="0" w:line="275" w:lineRule="auto"/>
        <w:rPr>
          <w:sz w:val="20"/>
          <w:szCs w:val="20"/>
          <w:color w:val="auto"/>
        </w:rPr>
      </w:pPr>
      <w:r>
        <w:rPr>
          <w:rFonts w:ascii="Arial" w:cs="Arial" w:eastAsia="Arial" w:hAnsi="Arial"/>
          <w:sz w:val="18"/>
          <w:szCs w:val="18"/>
          <w:color w:val="auto"/>
        </w:rPr>
        <w:t>For the three months ended March 31, 2022 and 2021, the Company recognized $7,216 and $6,810, respectively, in base management fees and $0 and $3,867, respectively, in performance-based incentive fees.</w:t>
      </w:r>
    </w:p>
    <w:p>
      <w:pPr>
        <w:spacing w:after="0" w:line="171" w:lineRule="exact"/>
        <w:rPr>
          <w:sz w:val="20"/>
          <w:szCs w:val="20"/>
          <w:color w:val="auto"/>
        </w:rPr>
      </w:pPr>
    </w:p>
    <w:p>
      <w:pPr>
        <w:ind w:left="140" w:firstLine="438"/>
        <w:spacing w:after="0" w:line="295" w:lineRule="auto"/>
        <w:rPr>
          <w:sz w:val="20"/>
          <w:szCs w:val="20"/>
          <w:color w:val="auto"/>
        </w:rPr>
      </w:pPr>
      <w:r>
        <w:rPr>
          <w:rFonts w:ascii="Arial" w:cs="Arial" w:eastAsia="Arial" w:hAnsi="Arial"/>
          <w:sz w:val="16"/>
          <w:szCs w:val="16"/>
          <w:color w:val="auto"/>
        </w:rPr>
        <w:t>The Company has also entered into an Administration Agreement with SLR Capital Management, LLC (the “Administrator”) under which the Administrator provides administrative services to the Company. For providing these services, facilities and personnel, the Company reimburses the Administrator for the Company’s allocable portion of overhead and other expenses incurred by the Administrator in performing its obligations under the Administration Agreement, including rent. The Administrator will also provide, on the Company’s behalf, managerial assistance to those portfolio companies to which the Company is required to provide such assistance. The Company typically reimburses the Administrator on a quarterly basis.</w:t>
      </w:r>
    </w:p>
    <w:p>
      <w:pPr>
        <w:spacing w:after="0" w:line="159" w:lineRule="exact"/>
        <w:rPr>
          <w:sz w:val="20"/>
          <w:szCs w:val="20"/>
          <w:color w:val="auto"/>
        </w:rPr>
      </w:pPr>
    </w:p>
    <w:p>
      <w:pPr>
        <w:ind w:left="140" w:right="340" w:firstLine="438"/>
        <w:spacing w:after="0" w:line="339" w:lineRule="auto"/>
        <w:rPr>
          <w:sz w:val="20"/>
          <w:szCs w:val="20"/>
          <w:color w:val="auto"/>
        </w:rPr>
      </w:pPr>
      <w:r>
        <w:rPr>
          <w:rFonts w:ascii="Arial" w:cs="Arial" w:eastAsia="Arial" w:hAnsi="Arial"/>
          <w:sz w:val="16"/>
          <w:szCs w:val="16"/>
          <w:color w:val="auto"/>
        </w:rPr>
        <w:t>For the three months ended March 31, 2022 and 2021, the Company recognized expenses under the Administration Agreement of $1,183 and $1,360 respectively. No managerial assistance fees were accrued or collected for the three months ended March 31, 2022 and 2021.</w:t>
      </w:r>
    </w:p>
    <w:p>
      <w:pPr>
        <w:spacing w:after="0" w:line="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8"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4. Net Asset Value Per Share</w:t>
      </w:r>
    </w:p>
    <w:p>
      <w:pPr>
        <w:spacing w:after="0" w:line="119" w:lineRule="exact"/>
        <w:rPr>
          <w:sz w:val="20"/>
          <w:szCs w:val="20"/>
          <w:color w:val="auto"/>
        </w:rPr>
      </w:pPr>
    </w:p>
    <w:p>
      <w:pPr>
        <w:ind w:left="140" w:right="240" w:firstLine="438"/>
        <w:spacing w:after="0" w:line="275" w:lineRule="auto"/>
        <w:rPr>
          <w:sz w:val="20"/>
          <w:szCs w:val="20"/>
          <w:color w:val="auto"/>
        </w:rPr>
      </w:pPr>
      <w:r>
        <w:rPr>
          <w:rFonts w:ascii="Arial" w:cs="Arial" w:eastAsia="Arial" w:hAnsi="Arial"/>
          <w:sz w:val="18"/>
          <w:szCs w:val="18"/>
          <w:color w:val="auto"/>
        </w:rPr>
        <w:t>At March 31, 2022, the Company’s total net assets and net asset value per share were $826,417 and $19.56, respectively. This compares to total net assets and net asset value per share at December 31, 2021 of $842,281 and $19.93, respectively.</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5. Earnings Per Share</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basic and diluted net increase in net assets per share resulting from operations, pursuant to ASC</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260-10, for the three months ended March 31, 2022 and 2021:</w:t>
      </w:r>
    </w:p>
    <w:p>
      <w:pPr>
        <w:spacing w:after="0" w:line="227" w:lineRule="exact"/>
        <w:rPr>
          <w:sz w:val="20"/>
          <w:szCs w:val="20"/>
          <w:color w:val="auto"/>
        </w:rPr>
      </w:pPr>
    </w:p>
    <w:tbl>
      <w:tblPr>
        <w:tblLayout w:type="fixed"/>
        <w:tblInd w:w="146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1"/>
        </w:trPr>
        <w:tc>
          <w:tcPr>
            <w:tcW w:w="5780" w:type="dxa"/>
            <w:vAlign w:val="bottom"/>
            <w:vMerge w:val="restart"/>
          </w:tcPr>
          <w:p>
            <w:pPr>
              <w:spacing w:after="0"/>
              <w:rPr>
                <w:sz w:val="20"/>
                <w:szCs w:val="20"/>
                <w:color w:val="auto"/>
              </w:rPr>
            </w:pPr>
            <w:r>
              <w:rPr>
                <w:rFonts w:ascii="Arial" w:cs="Arial" w:eastAsia="Arial" w:hAnsi="Arial"/>
                <w:sz w:val="18"/>
                <w:szCs w:val="18"/>
                <w:color w:val="auto"/>
              </w:rPr>
              <w:t>Earnings per share (basic &amp; diluted)</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8"/>
              <w:spacing w:after="0" w:line="141" w:lineRule="exact"/>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1"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21,510</w:t>
            </w:r>
          </w:p>
        </w:tc>
        <w:tc>
          <w:tcPr>
            <w:tcW w:w="0" w:type="dxa"/>
            <w:vAlign w:val="bottom"/>
          </w:tcPr>
          <w:p>
            <w:pPr>
              <w:spacing w:after="0"/>
              <w:rPr>
                <w:sz w:val="1"/>
                <w:szCs w:val="1"/>
                <w:color w:val="auto"/>
              </w:rPr>
            </w:pPr>
          </w:p>
        </w:tc>
      </w:tr>
      <w:tr>
        <w:trPr>
          <w:trHeight w:val="215"/>
        </w:trPr>
        <w:tc>
          <w:tcPr>
            <w:tcW w:w="5780" w:type="dxa"/>
            <w:vAlign w:val="bottom"/>
          </w:tcPr>
          <w:p>
            <w:pPr>
              <w:spacing w:after="0"/>
              <w:rPr>
                <w:sz w:val="20"/>
                <w:szCs w:val="20"/>
                <w:color w:val="auto"/>
              </w:rPr>
            </w:pPr>
            <w:r>
              <w:rPr>
                <w:rFonts w:ascii="Arial" w:cs="Arial" w:eastAsia="Arial" w:hAnsi="Arial"/>
                <w:sz w:val="18"/>
                <w:szCs w:val="18"/>
                <w:color w:val="auto"/>
              </w:rPr>
              <w:t>Denominator—weighted average shares:</w:t>
            </w:r>
          </w:p>
        </w:tc>
        <w:tc>
          <w:tcPr>
            <w:tcW w:w="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w w:val="88"/>
              </w:rPr>
              <w:t>42,260,826</w:t>
            </w: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42,260,826</w:t>
            </w:r>
          </w:p>
        </w:tc>
        <w:tc>
          <w:tcPr>
            <w:tcW w:w="0" w:type="dxa"/>
            <w:vAlign w:val="bottom"/>
          </w:tcPr>
          <w:p>
            <w:pPr>
              <w:spacing w:after="0"/>
              <w:rPr>
                <w:sz w:val="1"/>
                <w:szCs w:val="1"/>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6. Fair Value</w:t>
      </w:r>
    </w:p>
    <w:p>
      <w:pPr>
        <w:spacing w:after="0" w:line="119" w:lineRule="exact"/>
        <w:rPr>
          <w:sz w:val="20"/>
          <w:szCs w:val="20"/>
          <w:color w:val="auto"/>
        </w:rPr>
      </w:pPr>
    </w:p>
    <w:p>
      <w:pPr>
        <w:ind w:left="140" w:right="160" w:firstLine="43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79" w:lineRule="exact"/>
        <w:rPr>
          <w:sz w:val="20"/>
          <w:szCs w:val="20"/>
          <w:color w:val="auto"/>
        </w:rPr>
      </w:pPr>
    </w:p>
    <w:p>
      <w:pPr>
        <w:ind w:left="140" w:right="280" w:firstLine="438"/>
        <w:spacing w:after="0" w:line="280"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Company has the ability to access.</w:t>
      </w:r>
    </w:p>
    <w:p>
      <w:pPr>
        <w:spacing w:after="0" w:line="162" w:lineRule="exact"/>
        <w:rPr>
          <w:sz w:val="20"/>
          <w:szCs w:val="20"/>
          <w:color w:val="auto"/>
        </w:rPr>
      </w:pPr>
    </w:p>
    <w:p>
      <w:pPr>
        <w:ind w:left="140" w:right="100" w:firstLine="438"/>
        <w:spacing w:after="0" w:line="280"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directly or indirectly for substantially the full term of the asset or liability. Level 2 inputs include the following:</w:t>
      </w:r>
    </w:p>
    <w:p>
      <w:pPr>
        <w:spacing w:after="0" w:line="72" w:lineRule="exact"/>
        <w:rPr>
          <w:sz w:val="20"/>
          <w:szCs w:val="20"/>
          <w:color w:val="auto"/>
        </w:rPr>
      </w:pPr>
    </w:p>
    <w:p>
      <w:pPr>
        <w:ind w:left="1100" w:hanging="528"/>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28" w:lineRule="exact"/>
        <w:rPr>
          <w:rFonts w:ascii="Arial" w:cs="Arial" w:eastAsia="Arial" w:hAnsi="Arial"/>
          <w:sz w:val="18"/>
          <w:szCs w:val="18"/>
          <w:color w:val="auto"/>
        </w:rPr>
      </w:pPr>
    </w:p>
    <w:p>
      <w:pPr>
        <w:ind w:left="1100" w:hanging="528"/>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w:t>
      </w:r>
    </w:p>
    <w:p>
      <w:pPr>
        <w:spacing w:after="0" w:line="128" w:lineRule="exact"/>
        <w:rPr>
          <w:rFonts w:ascii="Arial" w:cs="Arial" w:eastAsia="Arial" w:hAnsi="Arial"/>
          <w:sz w:val="18"/>
          <w:szCs w:val="18"/>
          <w:color w:val="auto"/>
        </w:rPr>
      </w:pPr>
    </w:p>
    <w:p>
      <w:pPr>
        <w:ind w:left="1100" w:hanging="528"/>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asset or liability; and</w:t>
      </w:r>
    </w:p>
    <w:p>
      <w:pPr>
        <w:spacing w:after="0" w:line="128" w:lineRule="exact"/>
        <w:rPr>
          <w:rFonts w:ascii="Arial" w:cs="Arial" w:eastAsia="Arial" w:hAnsi="Arial"/>
          <w:sz w:val="18"/>
          <w:szCs w:val="18"/>
          <w:color w:val="auto"/>
        </w:rPr>
      </w:pPr>
    </w:p>
    <w:p>
      <w:pPr>
        <w:ind w:left="1100" w:hanging="528"/>
        <w:spacing w:after="0" w:line="275"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asset or liability.</w:t>
      </w:r>
    </w:p>
    <w:p>
      <w:pPr>
        <w:spacing w:after="0" w:line="167" w:lineRule="exact"/>
        <w:rPr>
          <w:sz w:val="20"/>
          <w:szCs w:val="20"/>
          <w:color w:val="auto"/>
        </w:rPr>
      </w:pPr>
    </w:p>
    <w:p>
      <w:pPr>
        <w:jc w:val="both"/>
        <w:ind w:left="140" w:right="20" w:firstLine="438"/>
        <w:spacing w:after="0" w:line="264"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Financial assets and liabilities whose values are based on prices or valuation techniques that require inputs that are both unobservable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to the overall fair value measurement. These inputs reflect management’s and, if applicable, an independent third-party valuation firm’s own assumptions about the assumptions a market participant would use in pricing the asset or liability.</w:t>
      </w:r>
    </w:p>
    <w:p>
      <w:pPr>
        <w:spacing w:after="0" w:line="181" w:lineRule="exact"/>
        <w:rPr>
          <w:sz w:val="20"/>
          <w:szCs w:val="20"/>
          <w:color w:val="auto"/>
        </w:rPr>
      </w:pPr>
    </w:p>
    <w:p>
      <w:pPr>
        <w:ind w:left="140" w:right="500" w:firstLine="438"/>
        <w:spacing w:after="0" w:line="262"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spacing w:after="0" w:line="182" w:lineRule="exact"/>
        <w:rPr>
          <w:sz w:val="20"/>
          <w:szCs w:val="20"/>
          <w:color w:val="auto"/>
        </w:rPr>
      </w:pPr>
    </w:p>
    <w:p>
      <w:pPr>
        <w:ind w:left="140" w:right="60" w:firstLine="438"/>
        <w:spacing w:after="0" w:line="275" w:lineRule="auto"/>
        <w:rPr>
          <w:sz w:val="20"/>
          <w:szCs w:val="20"/>
          <w:color w:val="auto"/>
        </w:rPr>
      </w:pPr>
      <w:r>
        <w:rPr>
          <w:rFonts w:ascii="Arial" w:cs="Arial" w:eastAsia="Arial" w:hAnsi="Arial"/>
          <w:sz w:val="18"/>
          <w:szCs w:val="18"/>
          <w:color w:val="auto"/>
        </w:rPr>
        <w:t>Gains and losses for assets and liabilities categorized within the Level 3 table below may include changes in fair value that are attributable to both observable inputs (Levels 1 and 2) and unobservable inputs (Level 3).</w:t>
      </w:r>
    </w:p>
    <w:p>
      <w:pPr>
        <w:spacing w:after="0" w:line="171" w:lineRule="exact"/>
        <w:rPr>
          <w:sz w:val="20"/>
          <w:szCs w:val="20"/>
          <w:color w:val="auto"/>
        </w:rPr>
      </w:pPr>
    </w:p>
    <w:p>
      <w:pPr>
        <w:ind w:left="140" w:right="140" w:firstLine="438"/>
        <w:spacing w:after="0" w:line="258"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Such reclassifications involving Level 3 assets and liabilities are reported as transfers in/out of Level 3 as of the end of the quarter in which the reclassifications occur. Within the fair value hierarchy tables below, cash and cash equivalents are excluded but could be classified as Level 1.</w:t>
      </w:r>
    </w:p>
    <w:p>
      <w:pPr>
        <w:sectPr>
          <w:pgSz w:w="11900" w:h="16838" w:orient="portrait"/>
          <w:cols w:equalWidth="0" w:num="1">
            <w:col w:w="11100"/>
          </w:cols>
          <w:pgMar w:left="320" w:top="458" w:right="47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00"/>
          </w:cols>
          <w:pgMar w:left="320" w:top="458" w:right="4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thousands, except share amounts)</w:t>
      </w:r>
    </w:p>
    <w:p>
      <w:pPr>
        <w:spacing w:after="0" w:line="1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tables present the balances of assets and liabilities measured at fair value on a recurring basis, as of March 31, 2022 and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u w:val="single" w:color="auto"/>
          <w:color w:val="auto"/>
        </w:rPr>
        <w:t>As of March 31, 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Senior Secured Loans</w:t>
            </w: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 —</w:t>
            </w:r>
          </w:p>
        </w:tc>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906,993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906,993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Financing</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260,186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260,186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Preferred Equity</w:t>
            </w: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4,405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Equity/Equity Interests/Warrants</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454,087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454,889</w:t>
            </w: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$ 802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1,625,671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1,626,473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2022 Unsecured Notes</w:t>
            </w: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 —</w:t>
            </w:r>
          </w:p>
        </w:tc>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6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0"/>
              </w:rPr>
              <w:t>Fair Value Measurements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68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680" w:type="dxa"/>
            <w:vAlign w:val="bottom"/>
            <w:gridSpan w:val="4"/>
          </w:tcPr>
          <w:p>
            <w:pPr>
              <w:jc w:val="center"/>
              <w:spacing w:after="0" w:line="193" w:lineRule="exact"/>
              <w:rPr>
                <w:sz w:val="20"/>
                <w:szCs w:val="20"/>
                <w:color w:val="auto"/>
              </w:rPr>
            </w:pPr>
            <w:r>
              <w:rPr>
                <w:rFonts w:ascii="Arial" w:cs="Arial" w:eastAsia="Arial" w:hAnsi="Arial"/>
                <w:sz w:val="18"/>
                <w:szCs w:val="18"/>
                <w:b w:val="1"/>
                <w:bCs w:val="1"/>
                <w:color w:val="auto"/>
                <w:w w:val="88"/>
              </w:rPr>
              <w:t>As of December 31, 2021</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Senior Secured Loans</w:t>
            </w:r>
          </w:p>
        </w:tc>
        <w:tc>
          <w:tcPr>
            <w:tcW w:w="2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939,690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939,690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Equipment Financing</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273,795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Preferred Equity</w:t>
            </w:r>
          </w:p>
        </w:tc>
        <w:tc>
          <w:tcPr>
            <w:tcW w:w="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Equity/Equity Interests/Warrants</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1,086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450,381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451,467</w:t>
            </w:r>
          </w:p>
        </w:tc>
        <w:tc>
          <w:tcPr>
            <w:tcW w:w="0" w:type="dxa"/>
            <w:vAlign w:val="bottom"/>
          </w:tcPr>
          <w:p>
            <w:pPr>
              <w:spacing w:after="0"/>
              <w:rPr>
                <w:sz w:val="1"/>
                <w:szCs w:val="1"/>
                <w:color w:val="auto"/>
              </w:rPr>
            </w:pPr>
          </w:p>
        </w:tc>
      </w:tr>
      <w:tr>
        <w:trPr>
          <w:trHeight w:val="229"/>
        </w:trPr>
        <w:tc>
          <w:tcPr>
            <w:tcW w:w="3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$ 1,086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6"/>
              </w:rPr>
              <w:t>$ —</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1,669,496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1,670,582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tcPr>
          <w:p>
            <w:pPr>
              <w:ind w:left="340"/>
              <w:spacing w:after="0"/>
              <w:rPr>
                <w:sz w:val="20"/>
                <w:szCs w:val="20"/>
                <w:color w:val="auto"/>
              </w:rPr>
            </w:pPr>
            <w:r>
              <w:rPr>
                <w:rFonts w:ascii="Arial" w:cs="Arial" w:eastAsia="Arial" w:hAnsi="Arial"/>
                <w:sz w:val="18"/>
                <w:szCs w:val="18"/>
                <w:color w:val="auto"/>
              </w:rPr>
              <w:t>2022 Unsecured Notes</w:t>
            </w:r>
          </w:p>
        </w:tc>
        <w:tc>
          <w:tcPr>
            <w:tcW w:w="2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
              <w:spacing w:after="0"/>
              <w:rPr>
                <w:sz w:val="20"/>
                <w:szCs w:val="20"/>
                <w:color w:val="auto"/>
              </w:rPr>
            </w:pPr>
            <w:r>
              <w:rPr>
                <w:rFonts w:ascii="Arial" w:cs="Arial" w:eastAsia="Arial" w:hAnsi="Arial"/>
                <w:sz w:val="18"/>
                <w:szCs w:val="18"/>
                <w:color w:val="auto"/>
              </w:rPr>
              <w:t>$ —</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40" w:type="dxa"/>
            <w:vAlign w:val="bottom"/>
            <w:gridSpan w:val="2"/>
            <w:vMerge w:val="restart"/>
          </w:tcPr>
          <w:p>
            <w:pPr>
              <w:jc w:val="center"/>
              <w:ind w:left="290"/>
              <w:spacing w:after="0"/>
              <w:rPr>
                <w:sz w:val="20"/>
                <w:szCs w:val="20"/>
                <w:color w:val="auto"/>
              </w:rPr>
            </w:pPr>
            <w:r>
              <w:rPr>
                <w:rFonts w:ascii="Arial" w:cs="Arial" w:eastAsia="Arial" w:hAnsi="Arial"/>
                <w:sz w:val="18"/>
                <w:szCs w:val="18"/>
                <w:color w:val="auto"/>
                <w:w w:val="89"/>
              </w:rPr>
              <w:t>23</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20" w:top="458" w:right="9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right="180" w:firstLine="438"/>
        <w:spacing w:after="0" w:line="262" w:lineRule="auto"/>
        <w:rPr>
          <w:sz w:val="20"/>
          <w:szCs w:val="20"/>
          <w:color w:val="auto"/>
        </w:rPr>
      </w:pPr>
      <w:r>
        <w:rPr>
          <w:rFonts w:ascii="Arial" w:cs="Arial" w:eastAsia="Arial" w:hAnsi="Arial"/>
          <w:sz w:val="18"/>
          <w:szCs w:val="18"/>
          <w:color w:val="auto"/>
        </w:rPr>
        <w:t>The following tables provide a summary of the changes in fair value of Level 3 assets and liabilities for the three months ended March 31, 2022, as well as the portion of gains or losses included in income attributable to unrealized gains or losses related to those assets and liabilities still held at March 31, 2022:</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Value Measurements Using Level 3 Inputs</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Common Equity/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Senior Secured</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 Equity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3"/>
              </w:rPr>
              <w:t>Interests/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Loans</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Financing</w:t>
            </w: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8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December 31, 2021</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939,690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273,795</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450,381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1,669,496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Total gains or losses included in earnings: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gain (loss)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880" w:type="dxa"/>
            <w:vAlign w:val="bottom"/>
          </w:tcPr>
          <w:p>
            <w:pPr>
              <w:ind w:left="360"/>
              <w:spacing w:after="0"/>
              <w:rPr>
                <w:sz w:val="20"/>
                <w:szCs w:val="20"/>
                <w:color w:val="auto"/>
              </w:rPr>
            </w:pPr>
            <w:r>
              <w:rPr>
                <w:rFonts w:ascii="Arial" w:cs="Arial" w:eastAsia="Arial" w:hAnsi="Arial"/>
                <w:sz w:val="18"/>
                <w:szCs w:val="18"/>
                <w:color w:val="auto"/>
              </w:rPr>
              <w:t>Net change in unrealized gain (loss)</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(15,608)</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967</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(11,761)</w:t>
            </w:r>
          </w:p>
        </w:tc>
        <w:tc>
          <w:tcPr>
            <w:tcW w:w="0" w:type="dxa"/>
            <w:vAlign w:val="bottom"/>
          </w:tcPr>
          <w:p>
            <w:pPr>
              <w:spacing w:after="0"/>
              <w:rPr>
                <w:sz w:val="1"/>
                <w:szCs w:val="1"/>
                <w:color w:val="auto"/>
              </w:rPr>
            </w:pPr>
          </w:p>
        </w:tc>
      </w:tr>
      <w:tr>
        <w:trPr>
          <w:trHeight w:val="215"/>
        </w:trPr>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investment securities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55,781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13,727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69,753</w:t>
            </w:r>
          </w:p>
        </w:tc>
        <w:tc>
          <w:tcPr>
            <w:tcW w:w="0" w:type="dxa"/>
            <w:vAlign w:val="bottom"/>
          </w:tcPr>
          <w:p>
            <w:pPr>
              <w:spacing w:after="0"/>
              <w:rPr>
                <w:sz w:val="1"/>
                <w:szCs w:val="1"/>
                <w:color w:val="auto"/>
              </w:rPr>
            </w:pPr>
          </w:p>
        </w:tc>
      </w:tr>
      <w:tr>
        <w:trPr>
          <w:trHeight w:val="215"/>
        </w:trPr>
        <w:tc>
          <w:tcPr>
            <w:tcW w:w="4880" w:type="dxa"/>
            <w:vAlign w:val="bottom"/>
          </w:tcPr>
          <w:p>
            <w:pPr>
              <w:spacing w:after="0"/>
              <w:rPr>
                <w:sz w:val="20"/>
                <w:szCs w:val="20"/>
                <w:color w:val="auto"/>
              </w:rPr>
            </w:pPr>
            <w:r>
              <w:rPr>
                <w:rFonts w:ascii="Arial" w:cs="Arial" w:eastAsia="Arial" w:hAnsi="Arial"/>
                <w:sz w:val="18"/>
                <w:szCs w:val="18"/>
                <w:color w:val="auto"/>
              </w:rPr>
              <w:t>Proceeds from dispositions of investment securities.</w:t>
            </w: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(72,870)</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(28,303)</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(101,817)</w:t>
            </w:r>
          </w:p>
        </w:tc>
        <w:tc>
          <w:tcPr>
            <w:tcW w:w="0" w:type="dxa"/>
            <w:vAlign w:val="bottom"/>
          </w:tcPr>
          <w:p>
            <w:pPr>
              <w:spacing w:after="0"/>
              <w:rPr>
                <w:sz w:val="1"/>
                <w:szCs w:val="1"/>
                <w:color w:val="auto"/>
              </w:rPr>
            </w:pPr>
          </w:p>
        </w:tc>
      </w:tr>
      <w:tr>
        <w:trPr>
          <w:trHeight w:val="215"/>
        </w:trPr>
        <w:tc>
          <w:tcPr>
            <w:tcW w:w="4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b w:val="1"/>
                <w:bCs w:val="1"/>
                <w:color w:val="auto"/>
              </w:rPr>
              <w:t>Fair value, March 31, 2022</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906,993</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260,186</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1,625,671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8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Unrealized losses for the period relating to those Level 3 assets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that were still held by the Company at the end of the period:</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80" w:type="dxa"/>
            <w:vAlign w:val="bottom"/>
          </w:tcPr>
          <w:p>
            <w:pPr>
              <w:ind w:left="360"/>
              <w:spacing w:after="0"/>
              <w:rPr>
                <w:sz w:val="20"/>
                <w:szCs w:val="20"/>
                <w:color w:val="auto"/>
              </w:rPr>
            </w:pPr>
            <w:r>
              <w:rPr>
                <w:rFonts w:ascii="Arial" w:cs="Arial" w:eastAsia="Arial" w:hAnsi="Arial"/>
                <w:sz w:val="18"/>
                <w:szCs w:val="18"/>
                <w:color w:val="auto"/>
              </w:rPr>
              <w:t>Net change in unrealized gain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(15,207)</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967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(11,360)</w:t>
            </w:r>
          </w:p>
        </w:tc>
        <w:tc>
          <w:tcPr>
            <w:tcW w:w="0" w:type="dxa"/>
            <w:vAlign w:val="bottom"/>
          </w:tcPr>
          <w:p>
            <w:pPr>
              <w:spacing w:after="0"/>
              <w:rPr>
                <w:sz w:val="1"/>
                <w:szCs w:val="1"/>
                <w:color w:val="auto"/>
              </w:rPr>
            </w:pPr>
          </w:p>
        </w:tc>
      </w:tr>
      <w:tr>
        <w:trPr>
          <w:trHeight w:val="20"/>
        </w:trPr>
        <w:tc>
          <w:tcPr>
            <w:tcW w:w="48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140" w:firstLine="438"/>
        <w:spacing w:after="0" w:line="275"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three months ended March 31, 2022:</w:t>
      </w:r>
    </w:p>
    <w:p>
      <w:pPr>
        <w:spacing w:after="0" w:line="176"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3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2022 Unsecured Notes and Unfunded Commitments</w:t>
            </w:r>
          </w:p>
        </w:tc>
        <w:tc>
          <w:tcPr>
            <w:tcW w:w="25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w w:val="92"/>
              </w:rPr>
              <w:t>For the three months ended</w:t>
            </w:r>
          </w:p>
        </w:tc>
        <w:tc>
          <w:tcPr>
            <w:tcW w:w="0" w:type="dxa"/>
            <w:vAlign w:val="bottom"/>
          </w:tcPr>
          <w:p>
            <w:pPr>
              <w:spacing w:after="0"/>
              <w:rPr>
                <w:sz w:val="1"/>
                <w:szCs w:val="1"/>
                <w:color w:val="auto"/>
              </w:rPr>
            </w:pPr>
          </w:p>
        </w:tc>
      </w:tr>
      <w:tr>
        <w:trPr>
          <w:trHeight w:val="177"/>
        </w:trPr>
        <w:tc>
          <w:tcPr>
            <w:tcW w:w="3180" w:type="dxa"/>
            <w:vAlign w:val="bottom"/>
            <w:gridSpan w:val="2"/>
            <w:vMerge w:val="continue"/>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fair value</w:t>
            </w:r>
          </w:p>
        </w:tc>
        <w:tc>
          <w:tcPr>
            <w:tcW w:w="2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ind w:left="880"/>
              <w:spacing w:after="0" w:line="202" w:lineRule="exact"/>
              <w:rPr>
                <w:sz w:val="20"/>
                <w:szCs w:val="20"/>
                <w:color w:val="auto"/>
              </w:rPr>
            </w:pPr>
            <w:r>
              <w:rPr>
                <w:rFonts w:ascii="Arial" w:cs="Arial" w:eastAsia="Arial" w:hAnsi="Arial"/>
                <w:sz w:val="18"/>
                <w:szCs w:val="18"/>
                <w:color w:val="auto"/>
                <w:w w:val="86"/>
              </w:rPr>
              <w:t>150,000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Net realized (gain) loss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Net change in unrealized (gain) loss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Borrowings</w:t>
            </w: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w:t>
            </w:r>
          </w:p>
        </w:tc>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340"/>
              <w:spacing w:after="0"/>
              <w:rPr>
                <w:sz w:val="20"/>
                <w:szCs w:val="20"/>
                <w:color w:val="auto"/>
              </w:rPr>
            </w:pPr>
            <w:r>
              <w:rPr>
                <w:rFonts w:ascii="Arial" w:cs="Arial" w:eastAsia="Arial" w:hAnsi="Arial"/>
                <w:sz w:val="18"/>
                <w:szCs w:val="18"/>
                <w:color w:val="auto"/>
              </w:rPr>
              <w:t>Transfers in/out of Level 3</w:t>
            </w:r>
          </w:p>
        </w:tc>
        <w:tc>
          <w:tcPr>
            <w:tcW w:w="2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Ending fair value</w:t>
            </w:r>
          </w:p>
        </w:tc>
        <w:tc>
          <w:tcPr>
            <w:tcW w:w="276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2"/>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280" w:firstLine="438"/>
        <w:spacing w:after="0" w:line="275" w:lineRule="auto"/>
        <w:rPr>
          <w:sz w:val="20"/>
          <w:szCs w:val="20"/>
          <w:color w:val="auto"/>
        </w:rPr>
      </w:pPr>
      <w:r>
        <w:rPr>
          <w:rFonts w:ascii="Arial" w:cs="Arial" w:eastAsia="Arial" w:hAnsi="Arial"/>
          <w:sz w:val="18"/>
          <w:szCs w:val="18"/>
          <w:color w:val="auto"/>
        </w:rPr>
        <w:t>The Company made an election to apply the fair value option of accounting to the 2022 Unsecured Notes, in accordance with ASC 825-10. On March 31, 2022, there were borrowings of $150,000 on the 2022 Unsecured Notes.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8"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right="540" w:firstLine="438"/>
        <w:spacing w:after="0" w:line="339" w:lineRule="auto"/>
        <w:rPr>
          <w:sz w:val="20"/>
          <w:szCs w:val="20"/>
          <w:color w:val="auto"/>
        </w:rPr>
      </w:pPr>
      <w:r>
        <w:rPr>
          <w:rFonts w:ascii="Arial" w:cs="Arial" w:eastAsia="Arial" w:hAnsi="Arial"/>
          <w:sz w:val="16"/>
          <w:szCs w:val="16"/>
          <w:color w:val="auto"/>
        </w:rPr>
        <w:t>The following table provides a summary of the changes in fair value of Level 3 assets for the year ended December 31, 2021, as well as the portion of gains or losses included in income attributable to unrealized gains or losses related to those assets still held at December 31, 2021:</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Fair Value Measurements Using Level 3 Inputs</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Common Equity/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Senior Secured</w:t>
            </w:r>
          </w:p>
        </w:tc>
        <w:tc>
          <w:tcPr>
            <w:tcW w:w="16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Preferred Equity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3"/>
              </w:rPr>
              <w:t>Interests/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4"/>
                <w:szCs w:val="14"/>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Financing</w:t>
            </w: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December 31, 2020</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798,052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284,846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440,971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1,530,270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Total gains or losses included in earnings: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realized gain (loss)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Net change in unrealized gain (loss)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(13,567)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r>
        <w:trPr>
          <w:trHeight w:val="215"/>
        </w:trPr>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investment securities</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610,585</w:t>
            </w: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rPr>
              <w:t>Proceeds from dispositions of investment securities.</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(378,409)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(89,137)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(468,221)</w:t>
            </w:r>
          </w:p>
        </w:tc>
        <w:tc>
          <w:tcPr>
            <w:tcW w:w="0" w:type="dxa"/>
            <w:vAlign w:val="bottom"/>
          </w:tcPr>
          <w:p>
            <w:pPr>
              <w:spacing w:after="0"/>
              <w:rPr>
                <w:sz w:val="1"/>
                <w:szCs w:val="1"/>
                <w:color w:val="auto"/>
              </w:rPr>
            </w:pPr>
          </w:p>
        </w:tc>
      </w:tr>
      <w:tr>
        <w:trPr>
          <w:trHeight w:val="215"/>
        </w:trPr>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b w:val="1"/>
                <w:bCs w:val="1"/>
                <w:color w:val="auto"/>
              </w:rPr>
              <w:t>Fair value, December 31, 2021</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939,690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273,795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1,669,496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0" w:type="dxa"/>
            <w:vAlign w:val="bottom"/>
            <w:tcBorders>
              <w:right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Unrealized gains (losses) for the period relating to those</w:t>
            </w: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Level 3 assets that were still held by the Company at the</w:t>
            </w: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the period:</w:t>
            </w:r>
          </w:p>
        </w:tc>
        <w:tc>
          <w:tcPr>
            <w:tcW w:w="16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360"/>
              <w:spacing w:after="0"/>
              <w:rPr>
                <w:sz w:val="20"/>
                <w:szCs w:val="20"/>
                <w:color w:val="auto"/>
              </w:rPr>
            </w:pPr>
            <w:r>
              <w:rPr>
                <w:rFonts w:ascii="Arial" w:cs="Arial" w:eastAsia="Arial" w:hAnsi="Arial"/>
                <w:sz w:val="18"/>
                <w:szCs w:val="18"/>
                <w:color w:val="auto"/>
              </w:rPr>
              <w:t>Net change in unrealized gain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(12,837)</w:t>
            </w:r>
          </w:p>
        </w:tc>
        <w:tc>
          <w:tcPr>
            <w:tcW w:w="2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1,394</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9,597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0"/>
        </w:trPr>
        <w:tc>
          <w:tcPr>
            <w:tcW w:w="48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80" w:right="380" w:hanging="438"/>
        <w:spacing w:after="0" w:line="339"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February 17, 2021, the Company exercised its warrants in Senseonics Holdings, Inc., receiving shares in the common stock of Senseonics Holdings, Inc. The common stock of Senseonics Holdings, Inc. is publicly traded, so this position is considered to be a Level 1 asset.</w:t>
      </w:r>
    </w:p>
    <w:p>
      <w:pPr>
        <w:spacing w:after="0" w:line="125" w:lineRule="exact"/>
        <w:rPr>
          <w:sz w:val="20"/>
          <w:szCs w:val="20"/>
          <w:color w:val="auto"/>
        </w:rPr>
      </w:pPr>
    </w:p>
    <w:p>
      <w:pPr>
        <w:ind w:left="140" w:firstLine="438"/>
        <w:spacing w:after="0" w:line="275"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 for the year ended December 31, 2021:</w:t>
      </w:r>
    </w:p>
    <w:p>
      <w:pPr>
        <w:spacing w:after="0" w:line="176"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2022 Unsecured Notes</w:t>
            </w:r>
          </w:p>
        </w:tc>
        <w:tc>
          <w:tcPr>
            <w:tcW w:w="16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4"/>
              </w:rPr>
              <w:t>For the year ended</w:t>
            </w:r>
          </w:p>
        </w:tc>
        <w:tc>
          <w:tcPr>
            <w:tcW w:w="0" w:type="dxa"/>
            <w:vAlign w:val="bottom"/>
          </w:tcPr>
          <w:p>
            <w:pPr>
              <w:spacing w:after="0"/>
              <w:rPr>
                <w:sz w:val="1"/>
                <w:szCs w:val="1"/>
                <w:color w:val="auto"/>
              </w:rPr>
            </w:pPr>
          </w:p>
        </w:tc>
      </w:tr>
      <w:tr>
        <w:trPr>
          <w:trHeight w:val="157"/>
        </w:trPr>
        <w:tc>
          <w:tcPr>
            <w:tcW w:w="4580" w:type="dxa"/>
            <w:vAlign w:val="bottom"/>
            <w:gridSpan w:val="3"/>
            <w:vMerge w:val="continue"/>
          </w:tcPr>
          <w:p>
            <w:pPr>
              <w:spacing w:after="0"/>
              <w:rPr>
                <w:sz w:val="13"/>
                <w:szCs w:val="13"/>
                <w:color w:val="auto"/>
              </w:rPr>
            </w:pPr>
          </w:p>
        </w:tc>
        <w:tc>
          <w:tcPr>
            <w:tcW w:w="1660" w:type="dxa"/>
            <w:vAlign w:val="bottom"/>
          </w:tcPr>
          <w:p>
            <w:pPr>
              <w:spacing w:after="0"/>
              <w:rPr>
                <w:sz w:val="13"/>
                <w:szCs w:val="13"/>
                <w:color w:val="auto"/>
              </w:rPr>
            </w:pPr>
          </w:p>
        </w:tc>
        <w:tc>
          <w:tcPr>
            <w:tcW w:w="120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fair value</w:t>
            </w: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86"/>
              </w:rPr>
              <w:t>150,000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Net realized (gain) loss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change in unrealized (gain) loss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Borrowings</w:t>
            </w: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w:t>
            </w: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Arial" w:cs="Arial" w:eastAsia="Arial" w:hAnsi="Arial"/>
                <w:sz w:val="18"/>
                <w:szCs w:val="18"/>
                <w:color w:val="auto"/>
              </w:rPr>
              <w:t>Transfers in/out of Level 3</w:t>
            </w:r>
          </w:p>
        </w:tc>
        <w:tc>
          <w:tcPr>
            <w:tcW w:w="1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fair value</w:t>
            </w:r>
          </w:p>
        </w:tc>
        <w:tc>
          <w:tcPr>
            <w:tcW w:w="198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150,000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140" w:right="420" w:firstLine="438"/>
        <w:spacing w:after="0" w:line="275" w:lineRule="auto"/>
        <w:rPr>
          <w:sz w:val="20"/>
          <w:szCs w:val="20"/>
          <w:color w:val="auto"/>
        </w:rPr>
      </w:pPr>
      <w:r>
        <w:rPr>
          <w:rFonts w:ascii="Arial" w:cs="Arial" w:eastAsia="Arial" w:hAnsi="Arial"/>
          <w:sz w:val="18"/>
          <w:szCs w:val="18"/>
          <w:color w:val="auto"/>
        </w:rPr>
        <w:t>The Company made elections to apply the fair value option of accounting to the 2022 Unsecured Notes, in accordance with ASC 825-10. On December 31, 2021, there were borrowings of $150,000 on the 2022 Unsecured Notes.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8"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Quantitative Information about Level 3 Fair Value Measurements</w:t>
      </w:r>
    </w:p>
    <w:p>
      <w:pPr>
        <w:spacing w:after="0" w:line="119" w:lineRule="exact"/>
        <w:rPr>
          <w:sz w:val="20"/>
          <w:szCs w:val="20"/>
          <w:color w:val="auto"/>
        </w:rPr>
      </w:pPr>
    </w:p>
    <w:p>
      <w:pPr>
        <w:ind w:left="140" w:right="100" w:firstLine="438"/>
        <w:spacing w:after="0" w:line="274" w:lineRule="auto"/>
        <w:rPr>
          <w:sz w:val="20"/>
          <w:szCs w:val="20"/>
          <w:color w:val="auto"/>
        </w:rPr>
      </w:pPr>
      <w:r>
        <w:rPr>
          <w:rFonts w:ascii="Arial" w:cs="Arial" w:eastAsia="Arial" w:hAnsi="Arial"/>
          <w:sz w:val="17"/>
          <w:szCs w:val="17"/>
          <w:color w:val="auto"/>
        </w:rPr>
        <w:t>The Company typically determines the fair value of its performing debt investments utilizing a yield analysis. In a yield analysis, a price is ascribed for each investment based upon an assessment of current and expected market yields for similar investments and risk profiles. Additional consideration is given to current contractual interest rates, relative maturities and other key terms and risks associated with an investment. Among other factors, a significant determinant of risk is the amount of leverage used by the portfolio company relative to the total enterprise value of the company, and the rights and remedies of our investment within each portfolio company.</w:t>
      </w:r>
    </w:p>
    <w:p>
      <w:pPr>
        <w:spacing w:after="0" w:line="174" w:lineRule="exact"/>
        <w:rPr>
          <w:sz w:val="20"/>
          <w:szCs w:val="20"/>
          <w:color w:val="auto"/>
        </w:rPr>
      </w:pPr>
    </w:p>
    <w:p>
      <w:pPr>
        <w:ind w:left="140" w:right="60" w:firstLine="438"/>
        <w:spacing w:after="0" w:line="258"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assets and liabilities primarily reflect current market yields, including indices, and readily available quotes from brokers, dealers, and pricing services as indicated by comparable assets and liabilities, as well as enterprise values, returns on equity and earnings before income taxes, depreciation and amortization (“EBITDA”) multiples of similar companies, and comparable market transactions for equity securities.</w:t>
      </w:r>
    </w:p>
    <w:p>
      <w:pPr>
        <w:spacing w:after="0" w:line="185" w:lineRule="exact"/>
        <w:rPr>
          <w:sz w:val="20"/>
          <w:szCs w:val="20"/>
          <w:color w:val="auto"/>
        </w:rPr>
      </w:pPr>
    </w:p>
    <w:p>
      <w:pPr>
        <w:ind w:left="140" w:firstLine="438"/>
        <w:spacing w:after="0" w:line="275" w:lineRule="auto"/>
        <w:rPr>
          <w:sz w:val="20"/>
          <w:szCs w:val="20"/>
          <w:color w:val="auto"/>
        </w:rPr>
      </w:pPr>
      <w:r>
        <w:rPr>
          <w:rFonts w:ascii="Arial" w:cs="Arial" w:eastAsia="Arial" w:hAnsi="Arial"/>
          <w:sz w:val="18"/>
          <w:szCs w:val="18"/>
          <w:color w:val="auto"/>
        </w:rPr>
        <w:t>Quantitative information about the Company’s Level 3 asset and liability fair value measurements as of March 31, 2022 is summarized in the table below:</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Asset or</w:t>
            </w:r>
          </w:p>
        </w:tc>
        <w:tc>
          <w:tcPr>
            <w:tcW w:w="12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Fair Value at</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Valuation</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Unobservable Input</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0"/>
              </w:rPr>
              <w:t>Range (Weighted</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5"/>
                <w:szCs w:val="15"/>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Technique/Methodology</w:t>
            </w:r>
          </w:p>
        </w:tc>
        <w:tc>
          <w:tcPr>
            <w:tcW w:w="1640" w:type="dxa"/>
            <w:vAlign w:val="bottom"/>
            <w:gridSpan w:val="2"/>
            <w:vMerge w:val="continue"/>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4"/>
        </w:trPr>
        <w:tc>
          <w:tcPr>
            <w:tcW w:w="338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Senior Secured Loans</w:t>
            </w: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Asset</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880,153</w:t>
            </w:r>
          </w:p>
        </w:tc>
        <w:tc>
          <w:tcPr>
            <w:tcW w:w="1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Income Approach</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Market Yield</w:t>
            </w:r>
          </w:p>
        </w:tc>
        <w:tc>
          <w:tcPr>
            <w:tcW w:w="100" w:type="dxa"/>
            <w:vAlign w:val="bottom"/>
            <w:tcBorders>
              <w:top w:val="single" w:sz="8" w:color="CCEEFF"/>
            </w:tcBorders>
            <w:shd w:val="clear" w:color="auto" w:fill="CCEEFF"/>
          </w:tcPr>
          <w:p>
            <w:pPr>
              <w:spacing w:after="0"/>
              <w:rPr>
                <w:sz w:val="16"/>
                <w:szCs w:val="16"/>
                <w:color w:val="auto"/>
              </w:rPr>
            </w:pPr>
          </w:p>
        </w:tc>
        <w:tc>
          <w:tcPr>
            <w:tcW w:w="2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4.2% – 26.9% (8.3%)</w:t>
            </w:r>
          </w:p>
        </w:tc>
        <w:tc>
          <w:tcPr>
            <w:tcW w:w="0" w:type="dxa"/>
            <w:vAlign w:val="bottom"/>
          </w:tcPr>
          <w:p>
            <w:pPr>
              <w:spacing w:after="0"/>
              <w:rPr>
                <w:sz w:val="1"/>
                <w:szCs w:val="1"/>
                <w:color w:val="auto"/>
              </w:rPr>
            </w:pPr>
          </w:p>
        </w:tc>
      </w:tr>
      <w:tr>
        <w:trPr>
          <w:trHeight w:val="243"/>
        </w:trPr>
        <w:tc>
          <w:tcPr>
            <w:tcW w:w="33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26,840</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Market Multiple</w:t>
            </w:r>
            <w:r>
              <w:rPr>
                <w:rFonts w:ascii="Arial" w:cs="Arial" w:eastAsia="Arial" w:hAnsi="Arial"/>
                <w:sz w:val="15"/>
                <w:szCs w:val="15"/>
                <w:color w:val="auto"/>
                <w:w w:val="95"/>
              </w:rPr>
              <w:t>(1)</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Comparable Multiple</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1.8x-8.0x(5.6x)/1.8x-2.8x(2.3x)</w:t>
            </w:r>
          </w:p>
        </w:tc>
        <w:tc>
          <w:tcPr>
            <w:tcW w:w="0" w:type="dxa"/>
            <w:vAlign w:val="bottom"/>
          </w:tcPr>
          <w:p>
            <w:pPr>
              <w:spacing w:after="0"/>
              <w:rPr>
                <w:sz w:val="1"/>
                <w:szCs w:val="1"/>
                <w:color w:val="auto"/>
              </w:rPr>
            </w:pPr>
          </w:p>
        </w:tc>
      </w:tr>
      <w:tr>
        <w:trPr>
          <w:trHeight w:val="201"/>
        </w:trPr>
        <w:tc>
          <w:tcPr>
            <w:tcW w:w="3380" w:type="dxa"/>
            <w:vAlign w:val="bottom"/>
          </w:tcPr>
          <w:p>
            <w:pPr>
              <w:spacing w:after="0" w:line="201" w:lineRule="exact"/>
              <w:rPr>
                <w:sz w:val="20"/>
                <w:szCs w:val="20"/>
                <w:color w:val="auto"/>
              </w:rPr>
            </w:pPr>
            <w:r>
              <w:rPr>
                <w:rFonts w:ascii="Arial" w:cs="Arial" w:eastAsia="Arial" w:hAnsi="Arial"/>
                <w:sz w:val="18"/>
                <w:szCs w:val="18"/>
                <w:color w:val="auto"/>
              </w:rPr>
              <w:t>Equipment Financing</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8"/>
              </w:rPr>
              <w:t>Asset</w:t>
            </w:r>
          </w:p>
        </w:tc>
        <w:tc>
          <w:tcPr>
            <w:tcW w:w="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131,084</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Income Approach</w:t>
            </w:r>
          </w:p>
        </w:tc>
        <w:tc>
          <w:tcPr>
            <w:tcW w:w="16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Market Yield</w:t>
            </w:r>
          </w:p>
        </w:tc>
        <w:tc>
          <w:tcPr>
            <w:tcW w:w="2340" w:type="dxa"/>
            <w:vAlign w:val="bottom"/>
          </w:tcPr>
          <w:p>
            <w:pPr>
              <w:jc w:val="center"/>
              <w:spacing w:after="0" w:line="201" w:lineRule="exact"/>
              <w:rPr>
                <w:sz w:val="20"/>
                <w:szCs w:val="20"/>
                <w:color w:val="auto"/>
              </w:rPr>
            </w:pPr>
            <w:r>
              <w:rPr>
                <w:rFonts w:ascii="Arial" w:cs="Arial" w:eastAsia="Arial" w:hAnsi="Arial"/>
                <w:sz w:val="18"/>
                <w:szCs w:val="18"/>
                <w:color w:val="auto"/>
                <w:w w:val="91"/>
              </w:rPr>
              <w:t>4.1% – 13.3% (9.5%)</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129,102</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Approach</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Return on Equity</w:t>
            </w: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4.6% - 4.6% (4.6%)</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Asset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Income Approach</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 – 3.5% (3.5%)</w:t>
            </w:r>
          </w:p>
        </w:tc>
        <w:tc>
          <w:tcPr>
            <w:tcW w:w="0" w:type="dxa"/>
            <w:vAlign w:val="bottom"/>
          </w:tcPr>
          <w:p>
            <w:pPr>
              <w:spacing w:after="0"/>
              <w:rPr>
                <w:sz w:val="1"/>
                <w:szCs w:val="1"/>
                <w:color w:val="auto"/>
              </w:rPr>
            </w:pPr>
          </w:p>
        </w:tc>
      </w:tr>
      <w:tr>
        <w:trPr>
          <w:trHeight w:val="201"/>
        </w:trPr>
        <w:tc>
          <w:tcPr>
            <w:tcW w:w="3380" w:type="dxa"/>
            <w:vAlign w:val="bottom"/>
          </w:tcPr>
          <w:p>
            <w:pPr>
              <w:spacing w:after="0" w:line="201" w:lineRule="exact"/>
              <w:rPr>
                <w:sz w:val="20"/>
                <w:szCs w:val="20"/>
                <w:color w:val="auto"/>
              </w:rPr>
            </w:pPr>
            <w:r>
              <w:rPr>
                <w:rFonts w:ascii="Arial" w:cs="Arial" w:eastAsia="Arial" w:hAnsi="Arial"/>
                <w:sz w:val="18"/>
                <w:szCs w:val="18"/>
                <w:color w:val="auto"/>
              </w:rPr>
              <w:t>Common Equity/Equity Interests/Warrants</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8"/>
              </w:rPr>
              <w:t>Asset</w:t>
            </w:r>
          </w:p>
        </w:tc>
        <w:tc>
          <w:tcPr>
            <w:tcW w:w="34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155,321</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Market Multiple</w:t>
            </w:r>
            <w:r>
              <w:rPr>
                <w:rFonts w:ascii="Arial" w:cs="Arial" w:eastAsia="Arial" w:hAnsi="Arial"/>
                <w:sz w:val="15"/>
                <w:szCs w:val="15"/>
                <w:color w:val="auto"/>
                <w:w w:val="95"/>
              </w:rPr>
              <w:t>(2)</w:t>
            </w:r>
          </w:p>
        </w:tc>
        <w:tc>
          <w:tcPr>
            <w:tcW w:w="16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Comparable Multiple</w:t>
            </w:r>
          </w:p>
        </w:tc>
        <w:tc>
          <w:tcPr>
            <w:tcW w:w="2340" w:type="dxa"/>
            <w:vAlign w:val="bottom"/>
          </w:tcPr>
          <w:p>
            <w:pPr>
              <w:jc w:val="center"/>
              <w:spacing w:after="0" w:line="201" w:lineRule="exact"/>
              <w:rPr>
                <w:sz w:val="20"/>
                <w:szCs w:val="20"/>
                <w:color w:val="auto"/>
              </w:rPr>
            </w:pPr>
            <w:r>
              <w:rPr>
                <w:rFonts w:ascii="Arial" w:cs="Arial" w:eastAsia="Arial" w:hAnsi="Arial"/>
                <w:sz w:val="18"/>
                <w:szCs w:val="18"/>
                <w:color w:val="auto"/>
                <w:w w:val="91"/>
              </w:rPr>
              <w:t>5.8x – 10.5x (9.5x)</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298,766</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Approach</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Return on Equity</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5.6% – 20.1% (6.3%)</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2022 Unsecured Notes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Income Approach</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 – 4.6% (4.5%)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right="140" w:hanging="438"/>
        <w:spacing w:after="0" w:line="25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Investments are valued using a sum-of-the parts analysis, using expected EBITDA multiples (1.8x-8.0x) for certain segments of the business and expected revenue multiples (1.8x-2.8x) for certain segments of the business.</w:t>
      </w:r>
    </w:p>
    <w:p>
      <w:pPr>
        <w:spacing w:after="0" w:line="1" w:lineRule="exact"/>
        <w:rPr>
          <w:rFonts w:ascii="Arial" w:cs="Arial" w:eastAsia="Arial" w:hAnsi="Arial"/>
          <w:sz w:val="18"/>
          <w:szCs w:val="18"/>
          <w:color w:val="auto"/>
        </w:rPr>
      </w:pPr>
    </w:p>
    <w:p>
      <w:pPr>
        <w:ind w:left="580" w:hanging="438"/>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$609 of investments valued using a Black-Scholes model and $154,712 of investments valued using an EBITDA multiple.</w:t>
      </w:r>
    </w:p>
    <w:p>
      <w:pPr>
        <w:spacing w:after="0" w:line="208" w:lineRule="exact"/>
        <w:rPr>
          <w:sz w:val="20"/>
          <w:szCs w:val="20"/>
          <w:color w:val="auto"/>
        </w:rPr>
      </w:pPr>
    </w:p>
    <w:p>
      <w:pPr>
        <w:ind w:left="140" w:right="120" w:firstLine="438"/>
        <w:spacing w:after="0" w:line="275" w:lineRule="auto"/>
        <w:rPr>
          <w:sz w:val="20"/>
          <w:szCs w:val="20"/>
          <w:color w:val="auto"/>
        </w:rPr>
      </w:pPr>
      <w:r>
        <w:rPr>
          <w:rFonts w:ascii="Arial" w:cs="Arial" w:eastAsia="Arial" w:hAnsi="Arial"/>
          <w:sz w:val="18"/>
          <w:szCs w:val="18"/>
          <w:color w:val="auto"/>
        </w:rPr>
        <w:t>Quantitative information about the Company’s Level 3 asset and liability fair value measurements as of December 31, 2021 is summarized in the table below:</w:t>
      </w:r>
    </w:p>
    <w:p>
      <w:pPr>
        <w:spacing w:after="0" w:line="18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Asset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Fair Value at</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Principal Valuation</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Unobservable Input</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0"/>
              </w:rPr>
              <w:t>Range (Weighted</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120" w:type="dxa"/>
            <w:vAlign w:val="bottom"/>
          </w:tcPr>
          <w:p>
            <w:pPr>
              <w:spacing w:after="0"/>
              <w:rPr>
                <w:sz w:val="15"/>
                <w:szCs w:val="15"/>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8"/>
              </w:rPr>
              <w:t>December 31, 2021</w:t>
            </w: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Technique/Methodology</w:t>
            </w:r>
          </w:p>
        </w:tc>
        <w:tc>
          <w:tcPr>
            <w:tcW w:w="1640" w:type="dxa"/>
            <w:vAlign w:val="bottom"/>
            <w:gridSpan w:val="2"/>
            <w:vMerge w:val="continue"/>
          </w:tcPr>
          <w:p>
            <w:pPr>
              <w:spacing w:after="0"/>
              <w:rPr>
                <w:sz w:val="15"/>
                <w:szCs w:val="15"/>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4"/>
        </w:trPr>
        <w:tc>
          <w:tcPr>
            <w:tcW w:w="32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Senior Secured Loans</w:t>
            </w:r>
          </w:p>
        </w:tc>
        <w:tc>
          <w:tcPr>
            <w:tcW w:w="6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Asset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931,769</w:t>
            </w:r>
          </w:p>
        </w:tc>
        <w:tc>
          <w:tcPr>
            <w:tcW w:w="1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Income Approach</w:t>
            </w:r>
          </w:p>
        </w:tc>
        <w:tc>
          <w:tcPr>
            <w:tcW w:w="12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3"/>
              </w:rPr>
              <w:t>Market Yield</w:t>
            </w:r>
          </w:p>
        </w:tc>
        <w:tc>
          <w:tcPr>
            <w:tcW w:w="10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4.0% – 19.6% (8.7%)</w:t>
            </w:r>
          </w:p>
        </w:tc>
        <w:tc>
          <w:tcPr>
            <w:tcW w:w="0" w:type="dxa"/>
            <w:vAlign w:val="bottom"/>
          </w:tcPr>
          <w:p>
            <w:pPr>
              <w:spacing w:after="0"/>
              <w:rPr>
                <w:sz w:val="1"/>
                <w:szCs w:val="1"/>
                <w:color w:val="auto"/>
              </w:rPr>
            </w:pPr>
          </w:p>
        </w:tc>
      </w:tr>
      <w:tr>
        <w:trPr>
          <w:trHeight w:val="243"/>
        </w:trPr>
        <w:tc>
          <w:tcPr>
            <w:tcW w:w="3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7,921</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Market Multiple</w:t>
            </w:r>
            <w:r>
              <w:rPr>
                <w:rFonts w:ascii="Arial" w:cs="Arial" w:eastAsia="Arial" w:hAnsi="Arial"/>
                <w:sz w:val="15"/>
                <w:szCs w:val="15"/>
                <w:color w:val="auto"/>
                <w:w w:val="95"/>
              </w:rPr>
              <w:t>(1)</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Comparable Multiple</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2.0x-3.0x(2.5x)/2.0x-3.0x(2.5x)</w:t>
            </w:r>
          </w:p>
        </w:tc>
        <w:tc>
          <w:tcPr>
            <w:tcW w:w="0" w:type="dxa"/>
            <w:vAlign w:val="bottom"/>
          </w:tcPr>
          <w:p>
            <w:pPr>
              <w:spacing w:after="0"/>
              <w:rPr>
                <w:sz w:val="1"/>
                <w:szCs w:val="1"/>
                <w:color w:val="auto"/>
              </w:rPr>
            </w:pPr>
          </w:p>
        </w:tc>
      </w:tr>
      <w:tr>
        <w:trPr>
          <w:trHeight w:val="201"/>
        </w:trPr>
        <w:tc>
          <w:tcPr>
            <w:tcW w:w="3220" w:type="dxa"/>
            <w:vAlign w:val="bottom"/>
          </w:tcPr>
          <w:p>
            <w:pPr>
              <w:spacing w:after="0" w:line="201" w:lineRule="exact"/>
              <w:rPr>
                <w:sz w:val="20"/>
                <w:szCs w:val="20"/>
                <w:color w:val="auto"/>
              </w:rPr>
            </w:pPr>
            <w:r>
              <w:rPr>
                <w:rFonts w:ascii="Arial" w:cs="Arial" w:eastAsia="Arial" w:hAnsi="Arial"/>
                <w:sz w:val="18"/>
                <w:szCs w:val="18"/>
                <w:color w:val="auto"/>
              </w:rPr>
              <w:t>Equipment Financing</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8"/>
              </w:rPr>
              <w:t>Asset</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144,693</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2"/>
              </w:rPr>
              <w:t>Income Approach</w:t>
            </w:r>
          </w:p>
        </w:tc>
        <w:tc>
          <w:tcPr>
            <w:tcW w:w="16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Market Yield</w:t>
            </w: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1"/>
              </w:rPr>
              <w:t>7.1% – 20.3% (9.8%)</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129,102</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Approach</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Return on Equity</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4.6% - 4.6% (4.6%)</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Asset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5,630</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Income Approach</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 – 8.0% (4.4%)</w:t>
            </w:r>
          </w:p>
        </w:tc>
        <w:tc>
          <w:tcPr>
            <w:tcW w:w="0" w:type="dxa"/>
            <w:vAlign w:val="bottom"/>
          </w:tcPr>
          <w:p>
            <w:pPr>
              <w:spacing w:after="0"/>
              <w:rPr>
                <w:sz w:val="1"/>
                <w:szCs w:val="1"/>
                <w:color w:val="auto"/>
              </w:rPr>
            </w:pPr>
          </w:p>
        </w:tc>
      </w:tr>
      <w:tr>
        <w:trPr>
          <w:trHeight w:val="201"/>
        </w:trPr>
        <w:tc>
          <w:tcPr>
            <w:tcW w:w="3220" w:type="dxa"/>
            <w:vAlign w:val="bottom"/>
          </w:tcPr>
          <w:p>
            <w:pPr>
              <w:spacing w:after="0" w:line="201" w:lineRule="exact"/>
              <w:rPr>
                <w:sz w:val="20"/>
                <w:szCs w:val="20"/>
                <w:color w:val="auto"/>
              </w:rPr>
            </w:pPr>
            <w:r>
              <w:rPr>
                <w:rFonts w:ascii="Arial" w:cs="Arial" w:eastAsia="Arial" w:hAnsi="Arial"/>
                <w:sz w:val="18"/>
                <w:szCs w:val="18"/>
                <w:color w:val="auto"/>
                <w:w w:val="95"/>
              </w:rPr>
              <w:t>Common Equity/Equity Interests/Warrants</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88"/>
              </w:rPr>
              <w:t>Asset</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151,615</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Market Multiple</w:t>
            </w:r>
            <w:r>
              <w:rPr>
                <w:rFonts w:ascii="Arial" w:cs="Arial" w:eastAsia="Arial" w:hAnsi="Arial"/>
                <w:sz w:val="15"/>
                <w:szCs w:val="15"/>
                <w:color w:val="auto"/>
                <w:w w:val="95"/>
              </w:rPr>
              <w:t>(2)</w:t>
            </w:r>
          </w:p>
        </w:tc>
        <w:tc>
          <w:tcPr>
            <w:tcW w:w="16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Comparable Multiple</w:t>
            </w:r>
          </w:p>
        </w:tc>
        <w:tc>
          <w:tcPr>
            <w:tcW w:w="2300" w:type="dxa"/>
            <w:vAlign w:val="bottom"/>
          </w:tcPr>
          <w:p>
            <w:pPr>
              <w:jc w:val="center"/>
              <w:spacing w:after="0" w:line="201" w:lineRule="exact"/>
              <w:rPr>
                <w:sz w:val="20"/>
                <w:szCs w:val="20"/>
                <w:color w:val="auto"/>
              </w:rPr>
            </w:pPr>
            <w:r>
              <w:rPr>
                <w:rFonts w:ascii="Arial" w:cs="Arial" w:eastAsia="Arial" w:hAnsi="Arial"/>
                <w:sz w:val="18"/>
                <w:szCs w:val="18"/>
                <w:color w:val="auto"/>
                <w:w w:val="91"/>
              </w:rPr>
              <w:t>5.8x – 10.5x (9.5x)</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298,766</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Approach</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Return on Equity</w:t>
            </w:r>
          </w:p>
        </w:tc>
        <w:tc>
          <w:tcPr>
            <w:tcW w:w="2300" w:type="dxa"/>
            <w:vAlign w:val="bottom"/>
          </w:tcPr>
          <w:p>
            <w:pPr>
              <w:jc w:val="center"/>
              <w:spacing w:after="0"/>
              <w:rPr>
                <w:sz w:val="20"/>
                <w:szCs w:val="20"/>
                <w:color w:val="auto"/>
              </w:rPr>
            </w:pPr>
            <w:r>
              <w:rPr>
                <w:rFonts w:ascii="Arial" w:cs="Arial" w:eastAsia="Arial" w:hAnsi="Arial"/>
                <w:sz w:val="18"/>
                <w:szCs w:val="18"/>
                <w:color w:val="auto"/>
                <w:w w:val="91"/>
              </w:rPr>
              <w:t>6.1% – 18.5% (8.6%)</w:t>
            </w:r>
          </w:p>
        </w:tc>
        <w:tc>
          <w:tcPr>
            <w:tcW w:w="0" w:type="dxa"/>
            <w:vAlign w:val="bottom"/>
          </w:tcPr>
          <w:p>
            <w:pPr>
              <w:spacing w:after="0"/>
              <w:rPr>
                <w:sz w:val="1"/>
                <w:szCs w:val="1"/>
                <w:color w:val="auto"/>
              </w:rPr>
            </w:pPr>
          </w:p>
        </w:tc>
      </w:tr>
      <w:tr>
        <w:trPr>
          <w:trHeight w:val="228"/>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2022 Unsecured Notes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Income Approach</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 – 4.6% (4.5%)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right="420" w:hanging="438"/>
        <w:spacing w:after="0" w:line="25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are valued using a sum-of-the parts analysis, using expected EBITDA multiples (2x-3x) for certain segments of the business and expected revenue multiples (2x-3x) for certain segments of the business.</w:t>
      </w:r>
    </w:p>
    <w:p>
      <w:pPr>
        <w:spacing w:after="0" w:line="1" w:lineRule="exact"/>
        <w:rPr>
          <w:rFonts w:ascii="Arial" w:cs="Arial" w:eastAsia="Arial" w:hAnsi="Arial"/>
          <w:sz w:val="18"/>
          <w:szCs w:val="18"/>
          <w:color w:val="auto"/>
        </w:rPr>
      </w:pPr>
    </w:p>
    <w:p>
      <w:pPr>
        <w:ind w:left="580" w:hanging="43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$403 of investments valued using a Black-Scholes model and $151,212 of investments valued using an EBITDA multiple.</w:t>
      </w:r>
    </w:p>
    <w:p>
      <w:pPr>
        <w:spacing w:after="0" w:line="208" w:lineRule="exact"/>
        <w:rPr>
          <w:sz w:val="20"/>
          <w:szCs w:val="20"/>
          <w:color w:val="auto"/>
        </w:rPr>
      </w:pPr>
    </w:p>
    <w:p>
      <w:pPr>
        <w:ind w:left="140" w:right="340" w:firstLine="438"/>
        <w:spacing w:after="0" w:line="310" w:lineRule="auto"/>
        <w:rPr>
          <w:sz w:val="20"/>
          <w:szCs w:val="20"/>
          <w:color w:val="auto"/>
        </w:rPr>
      </w:pPr>
      <w:r>
        <w:rPr>
          <w:rFonts w:ascii="Arial" w:cs="Arial" w:eastAsia="Arial" w:hAnsi="Arial"/>
          <w:sz w:val="16"/>
          <w:szCs w:val="16"/>
          <w:color w:val="auto"/>
        </w:rPr>
        <w:t>Significant increases or decreases in any of the above unobservable inputs in isolation, including unobservable inputs used in deriving bid-ask spreads, if applicable, could result in significantly lower or higher fair value measurements for such assets and liabilities. Generally, an increase in market yields or decrease in EBITDA multiples may result in a decrease in the fair value of certain of the Company’s investments.</w:t>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8"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7. Debt</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debt obligations consisted of the following as of March 31, 2022 and December 31, 2021:</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Facility</w:t>
            </w:r>
          </w:p>
        </w:tc>
        <w:tc>
          <w:tcPr>
            <w:tcW w:w="3080" w:type="dxa"/>
            <w:vAlign w:val="bottom"/>
            <w:vMerge w:val="restart"/>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ind w:left="480"/>
              <w:spacing w:after="0"/>
              <w:rPr>
                <w:sz w:val="20"/>
                <w:szCs w:val="20"/>
                <w:color w:val="auto"/>
              </w:rPr>
            </w:pPr>
            <w:r>
              <w:rPr>
                <w:rFonts w:ascii="Arial" w:cs="Arial" w:eastAsia="Arial" w:hAnsi="Arial"/>
                <w:sz w:val="14"/>
                <w:szCs w:val="14"/>
                <w:b w:val="1"/>
                <w:bCs w:val="1"/>
                <w:color w:val="auto"/>
                <w:w w:val="96"/>
              </w:rPr>
              <w:t>March 31, 2022</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right"/>
              <w:ind w:right="684"/>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48"/>
        </w:trPr>
        <w:tc>
          <w:tcPr>
            <w:tcW w:w="480" w:type="dxa"/>
            <w:vAlign w:val="bottom"/>
            <w:tcBorders>
              <w:bottom w:val="single" w:sz="8" w:color="auto"/>
            </w:tcBorders>
            <w:gridSpan w:val="2"/>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4"/>
                <w:szCs w:val="14"/>
                <w:b w:val="1"/>
                <w:bCs w:val="1"/>
                <w:color w:val="auto"/>
              </w:rPr>
              <w:t>Face Amount</w:t>
            </w:r>
          </w:p>
        </w:tc>
        <w:tc>
          <w:tcPr>
            <w:tcW w:w="96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4"/>
                <w:szCs w:val="14"/>
                <w:b w:val="1"/>
                <w:bCs w:val="1"/>
                <w:color w:val="auto"/>
                <w:w w:val="95"/>
              </w:rPr>
              <w:t>Carrying Value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Borders>
              <w:top w:val="single" w:sz="8" w:color="auto"/>
            </w:tcBorders>
            <w:gridSpan w:val="3"/>
          </w:tcPr>
          <w:p>
            <w:pPr>
              <w:spacing w:after="0" w:line="128" w:lineRule="exact"/>
              <w:rPr>
                <w:sz w:val="20"/>
                <w:szCs w:val="20"/>
                <w:color w:val="auto"/>
              </w:rPr>
            </w:pPr>
            <w:r>
              <w:rPr>
                <w:rFonts w:ascii="Arial" w:cs="Arial" w:eastAsia="Arial" w:hAnsi="Arial"/>
                <w:sz w:val="14"/>
                <w:szCs w:val="14"/>
                <w:b w:val="1"/>
                <w:bCs w:val="1"/>
                <w:color w:val="auto"/>
              </w:rPr>
              <w:t>Face Amount</w:t>
            </w:r>
          </w:p>
        </w:tc>
        <w:tc>
          <w:tcPr>
            <w:tcW w:w="960" w:type="dxa"/>
            <w:vAlign w:val="bottom"/>
            <w:tcBorders>
              <w:top w:val="single" w:sz="8" w:color="auto"/>
            </w:tcBorders>
            <w:gridSpan w:val="2"/>
          </w:tcPr>
          <w:p>
            <w:pPr>
              <w:spacing w:after="0" w:line="128" w:lineRule="exact"/>
              <w:rPr>
                <w:sz w:val="20"/>
                <w:szCs w:val="20"/>
                <w:color w:val="auto"/>
              </w:rPr>
            </w:pPr>
            <w:r>
              <w:rPr>
                <w:rFonts w:ascii="Arial" w:cs="Arial" w:eastAsia="Arial" w:hAnsi="Arial"/>
                <w:sz w:val="14"/>
                <w:szCs w:val="14"/>
                <w:b w:val="1"/>
                <w:bCs w:val="1"/>
                <w:color w:val="auto"/>
                <w:w w:val="95"/>
              </w:rPr>
              <w:t>Carrying Value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5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1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184,000</w:t>
            </w: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179,662</w:t>
            </w:r>
          </w:p>
        </w:tc>
        <w:tc>
          <w:tcPr>
            <w:tcW w:w="360" w:type="dxa"/>
            <w:vAlign w:val="bottom"/>
            <w:tcBorders>
              <w:top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color w:val="auto"/>
                <w:w w:val="87"/>
              </w:rPr>
              <w:t>(1)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322,500</w:t>
            </w:r>
          </w:p>
        </w:tc>
        <w:tc>
          <w:tcPr>
            <w:tcW w:w="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318,015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150,000</w:t>
            </w:r>
          </w:p>
        </w:tc>
        <w:tc>
          <w:tcPr>
            <w:tcW w:w="340" w:type="dxa"/>
            <w:vAlign w:val="bottom"/>
          </w:tcPr>
          <w:p>
            <w:pPr>
              <w:spacing w:after="0"/>
              <w:rPr>
                <w:sz w:val="18"/>
                <w:szCs w:val="18"/>
                <w:color w:val="auto"/>
              </w:rPr>
            </w:pPr>
          </w:p>
        </w:tc>
        <w:tc>
          <w:tcPr>
            <w:tcW w:w="980" w:type="dxa"/>
            <w:vAlign w:val="bottom"/>
            <w:gridSpan w:val="2"/>
          </w:tcPr>
          <w:p>
            <w:pPr>
              <w:jc w:val="right"/>
              <w:ind w:right="284"/>
              <w:spacing w:after="0"/>
              <w:rPr>
                <w:sz w:val="20"/>
                <w:szCs w:val="20"/>
                <w:color w:val="auto"/>
              </w:rPr>
            </w:pPr>
            <w:r>
              <w:rPr>
                <w:rFonts w:ascii="Arial" w:cs="Arial" w:eastAsia="Arial" w:hAnsi="Arial"/>
                <w:sz w:val="18"/>
                <w:szCs w:val="18"/>
                <w:color w:val="auto"/>
                <w:w w:val="92"/>
              </w:rPr>
              <w:t>150,000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150,000</w:t>
            </w:r>
          </w:p>
        </w:tc>
        <w:tc>
          <w:tcPr>
            <w:tcW w:w="240" w:type="dxa"/>
            <w:vAlign w:val="bottom"/>
          </w:tcPr>
          <w:p>
            <w:pPr>
              <w:spacing w:after="0"/>
              <w:rPr>
                <w:sz w:val="18"/>
                <w:szCs w:val="18"/>
                <w:color w:val="auto"/>
              </w:rPr>
            </w:pPr>
          </w:p>
        </w:tc>
        <w:tc>
          <w:tcPr>
            <w:tcW w:w="940" w:type="dxa"/>
            <w:vAlign w:val="bottom"/>
            <w:gridSpan w:val="2"/>
          </w:tcPr>
          <w:p>
            <w:pPr>
              <w:jc w:val="right"/>
              <w:ind w:right="144"/>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2022</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Tranche C Notes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20,973</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20,964</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8"/>
                <w:szCs w:val="18"/>
                <w:color w:val="auto"/>
                <w:w w:val="89"/>
              </w:rPr>
              <w:t>2023</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8"/>
                <w:szCs w:val="18"/>
                <w:color w:val="auto"/>
              </w:rPr>
            </w:pPr>
          </w:p>
        </w:tc>
        <w:tc>
          <w:tcPr>
            <w:tcW w:w="980" w:type="dxa"/>
            <w:vAlign w:val="bottom"/>
            <w:gridSpan w:val="2"/>
          </w:tcPr>
          <w:p>
            <w:pPr>
              <w:jc w:val="right"/>
              <w:ind w:right="104"/>
              <w:spacing w:after="0"/>
              <w:rPr>
                <w:sz w:val="20"/>
                <w:szCs w:val="20"/>
                <w:color w:val="auto"/>
              </w:rPr>
            </w:pPr>
            <w:r>
              <w:rPr>
                <w:rFonts w:ascii="Arial" w:cs="Arial" w:eastAsia="Arial" w:hAnsi="Arial"/>
                <w:sz w:val="18"/>
                <w:szCs w:val="18"/>
                <w:color w:val="auto"/>
              </w:rPr>
              <w:t>74,687</w:t>
            </w: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74,592</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125,000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93"/>
              </w:rPr>
              <w:t>124,211</w:t>
            </w:r>
            <w:r>
              <w:rPr>
                <w:rFonts w:ascii="Arial" w:cs="Arial" w:eastAsia="Arial" w:hAnsi="Arial"/>
                <w:sz w:val="15"/>
                <w:szCs w:val="15"/>
                <w:color w:val="auto"/>
                <w:w w:val="93"/>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125,000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124,143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Unsecured Notes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75,000</w:t>
            </w:r>
          </w:p>
        </w:tc>
        <w:tc>
          <w:tcPr>
            <w:tcW w:w="340" w:type="dxa"/>
            <w:vAlign w:val="bottom"/>
          </w:tcPr>
          <w:p>
            <w:pPr>
              <w:spacing w:after="0"/>
              <w:rPr>
                <w:sz w:val="18"/>
                <w:szCs w:val="18"/>
                <w:color w:val="auto"/>
              </w:rPr>
            </w:pPr>
          </w:p>
        </w:tc>
        <w:tc>
          <w:tcPr>
            <w:tcW w:w="980" w:type="dxa"/>
            <w:vAlign w:val="bottom"/>
            <w:gridSpan w:val="2"/>
          </w:tcPr>
          <w:p>
            <w:pPr>
              <w:jc w:val="right"/>
              <w:ind w:right="104"/>
              <w:spacing w:after="0"/>
              <w:rPr>
                <w:sz w:val="20"/>
                <w:szCs w:val="20"/>
                <w:color w:val="auto"/>
              </w:rPr>
            </w:pPr>
            <w:r>
              <w:rPr>
                <w:rFonts w:ascii="Arial" w:cs="Arial" w:eastAsia="Arial" w:hAnsi="Arial"/>
                <w:sz w:val="18"/>
                <w:szCs w:val="18"/>
                <w:color w:val="auto"/>
              </w:rPr>
              <w:t>74,412</w:t>
            </w:r>
            <w:r>
              <w:rPr>
                <w:rFonts w:ascii="Arial" w:cs="Arial" w:eastAsia="Arial" w:hAnsi="Arial"/>
                <w:sz w:val="15"/>
                <w:szCs w:val="15"/>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74,384</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2027</w:t>
            </w: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Unsecured Notes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49,943</w:t>
            </w:r>
            <w:r>
              <w:rPr>
                <w:rFonts w:ascii="Arial" w:cs="Arial" w:eastAsia="Arial" w:hAnsi="Arial"/>
                <w:sz w:val="15"/>
                <w:szCs w:val="15"/>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49,940</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5"/>
        </w:trPr>
        <w:tc>
          <w:tcPr>
            <w:tcW w:w="380" w:type="dxa"/>
            <w:vAlign w:val="bottom"/>
          </w:tcPr>
          <w:p>
            <w:pPr>
              <w:spacing w:after="0"/>
              <w:rPr>
                <w:sz w:val="20"/>
                <w:szCs w:val="20"/>
                <w:color w:val="auto"/>
              </w:rPr>
            </w:pPr>
            <w:r>
              <w:rPr>
                <w:rFonts w:ascii="Arial" w:cs="Arial" w:eastAsia="Arial" w:hAnsi="Arial"/>
                <w:sz w:val="18"/>
                <w:szCs w:val="18"/>
                <w:color w:val="auto"/>
                <w:w w:val="89"/>
              </w:rPr>
              <w:t>2027</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Series F Unsecured Notes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135,000</w:t>
            </w:r>
          </w:p>
        </w:tc>
        <w:tc>
          <w:tcPr>
            <w:tcW w:w="340" w:type="dxa"/>
            <w:vAlign w:val="bottom"/>
          </w:tcPr>
          <w:p>
            <w:pPr>
              <w:spacing w:after="0"/>
              <w:rPr>
                <w:sz w:val="18"/>
                <w:szCs w:val="18"/>
                <w:color w:val="auto"/>
              </w:rPr>
            </w:pPr>
          </w:p>
        </w:tc>
        <w:tc>
          <w:tcPr>
            <w:tcW w:w="980" w:type="dxa"/>
            <w:vAlign w:val="bottom"/>
            <w:gridSpan w:val="2"/>
          </w:tcPr>
          <w:p>
            <w:pPr>
              <w:jc w:val="right"/>
              <w:ind w:right="104"/>
              <w:spacing w:after="0"/>
              <w:rPr>
                <w:sz w:val="20"/>
                <w:szCs w:val="20"/>
                <w:color w:val="auto"/>
              </w:rPr>
            </w:pPr>
            <w:r>
              <w:rPr>
                <w:rFonts w:ascii="Arial" w:cs="Arial" w:eastAsia="Arial" w:hAnsi="Arial"/>
                <w:sz w:val="18"/>
                <w:szCs w:val="18"/>
                <w:color w:val="auto"/>
                <w:w w:val="93"/>
              </w:rPr>
              <w:t>134,970</w:t>
            </w:r>
            <w:r>
              <w:rPr>
                <w:rFonts w:ascii="Arial" w:cs="Arial" w:eastAsia="Arial" w:hAnsi="Arial"/>
                <w:sz w:val="15"/>
                <w:szCs w:val="15"/>
                <w:color w:val="auto"/>
                <w:w w:val="93"/>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2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815,000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w w:val="92"/>
              </w:rPr>
              <w:t>808,858</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818,500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812,038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580" w:right="300" w:hanging="438"/>
        <w:spacing w:after="0" w:line="25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$4,338 and $4,485 as of March 31, 2022 and December 31, 2021, respectively.</w:t>
      </w:r>
    </w:p>
    <w:p>
      <w:pPr>
        <w:spacing w:after="0" w:line="1" w:lineRule="exact"/>
        <w:rPr>
          <w:rFonts w:ascii="Arial" w:cs="Arial" w:eastAsia="Arial" w:hAnsi="Arial"/>
          <w:sz w:val="18"/>
          <w:szCs w:val="18"/>
          <w:color w:val="auto"/>
        </w:rPr>
      </w:pPr>
    </w:p>
    <w:p>
      <w:pPr>
        <w:ind w:left="580" w:right="300" w:hanging="438"/>
        <w:spacing w:after="0" w:line="24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$27 and $36 as of March 31, 2022 and December 31, 2021, respectively.</w:t>
      </w:r>
    </w:p>
    <w:p>
      <w:pPr>
        <w:ind w:left="580" w:right="120" w:hanging="438"/>
        <w:spacing w:after="0" w:line="24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$313 and $408 as of March 31, 2022 and December 31, 2021, respectively.</w:t>
      </w:r>
    </w:p>
    <w:p>
      <w:pPr>
        <w:ind w:left="580" w:right="120" w:hanging="438"/>
        <w:spacing w:after="0" w:line="24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$789 and $857 as of March 31, 2022 and December 31, 2021, respectively.</w:t>
      </w:r>
    </w:p>
    <w:p>
      <w:pPr>
        <w:ind w:left="580" w:right="120" w:hanging="438"/>
        <w:spacing w:after="0" w:line="24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$588 and $616 as of March 31, 2022 and December 31, 2021, respectively.</w:t>
      </w:r>
    </w:p>
    <w:p>
      <w:pPr>
        <w:ind w:left="580" w:right="300" w:hanging="438"/>
        <w:spacing w:after="0" w:line="24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Carrying Value equals the Face Amount net of unamortized debt issuance costs of $57 and $60 as of March 31, 2022 and December 31, 2021, respectively.</w:t>
      </w:r>
    </w:p>
    <w:p>
      <w:pPr>
        <w:ind w:left="580" w:right="2660" w:hanging="438"/>
        <w:spacing w:after="0" w:line="490"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Carrying Value equals the Face Amount net of unamortized debt issuance costs of $30 as of March 31, 2022. </w:t>
      </w:r>
      <w:r>
        <w:rPr>
          <w:rFonts w:ascii="Arial" w:cs="Arial" w:eastAsia="Arial" w:hAnsi="Arial"/>
          <w:sz w:val="18"/>
          <w:szCs w:val="18"/>
          <w:i w:val="1"/>
          <w:iCs w:val="1"/>
          <w:color w:val="auto"/>
        </w:rPr>
        <w:t>Unsecured Notes</w:t>
      </w:r>
    </w:p>
    <w:p>
      <w:pPr>
        <w:jc w:val="both"/>
        <w:ind w:left="140" w:right="60" w:firstLine="438"/>
        <w:spacing w:after="0" w:line="262" w:lineRule="auto"/>
        <w:rPr>
          <w:sz w:val="20"/>
          <w:szCs w:val="20"/>
          <w:color w:val="auto"/>
        </w:rPr>
      </w:pPr>
      <w:r>
        <w:rPr>
          <w:rFonts w:ascii="Arial" w:cs="Arial" w:eastAsia="Arial" w:hAnsi="Arial"/>
          <w:sz w:val="18"/>
          <w:szCs w:val="18"/>
          <w:color w:val="auto"/>
        </w:rPr>
        <w:t>On January 6, 2022, the Company closed a private offering of $135,000 of the 2027 Series F Unsecured Notes with a fixed interest rate of 3.33% and a maturity date of January 6, 2027. Interest on the 2027 Series F Unsecured Notes is due semi-annually on January 6 and July 6. The 2027 Series F Unsecured Notes were issued in a private placement only to qualified institutional buyers.</w:t>
      </w:r>
    </w:p>
    <w:p>
      <w:pPr>
        <w:spacing w:after="0" w:line="182" w:lineRule="exact"/>
        <w:rPr>
          <w:sz w:val="20"/>
          <w:szCs w:val="20"/>
          <w:color w:val="auto"/>
        </w:rPr>
      </w:pPr>
    </w:p>
    <w:p>
      <w:pPr>
        <w:ind w:left="140" w:right="60" w:firstLine="438"/>
        <w:spacing w:after="0" w:line="262" w:lineRule="auto"/>
        <w:rPr>
          <w:sz w:val="20"/>
          <w:szCs w:val="20"/>
          <w:color w:val="auto"/>
        </w:rPr>
      </w:pPr>
      <w:r>
        <w:rPr>
          <w:rFonts w:ascii="Arial" w:cs="Arial" w:eastAsia="Arial" w:hAnsi="Arial"/>
          <w:sz w:val="18"/>
          <w:szCs w:val="18"/>
          <w:color w:val="auto"/>
        </w:rPr>
        <w:t>On September 14, 2021, the Company closed a private offering of $50,000 of the 2027 Unsecured Notes with a fixed interest rate of 2.95% and a maturity date of March 14, 2027. Interest on the 2027 Unsecured Notes is due semi-annually on March 14 and September 14. The 2027 Unsecured Notes were issued in a private placement only to qualified institutional buyers.</w:t>
      </w:r>
    </w:p>
    <w:p>
      <w:pPr>
        <w:spacing w:after="0" w:line="182" w:lineRule="exact"/>
        <w:rPr>
          <w:sz w:val="20"/>
          <w:szCs w:val="20"/>
          <w:color w:val="auto"/>
        </w:rPr>
      </w:pPr>
    </w:p>
    <w:p>
      <w:pPr>
        <w:ind w:left="1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$125,000 of the 2024 Unsecured Notes with a fixed interest rate of 4.20% and a maturity date of December 15, 2024. Interest on the 2024 Unsecured Notes is due semi-annually on June 15 and December 15. The 2024 Unsecured Notes were issued in a private placement only to qualified institutional buyers.</w:t>
      </w:r>
    </w:p>
    <w:p>
      <w:pPr>
        <w:spacing w:after="0" w:line="182" w:lineRule="exact"/>
        <w:rPr>
          <w:sz w:val="20"/>
          <w:szCs w:val="20"/>
          <w:color w:val="auto"/>
        </w:rPr>
      </w:pPr>
    </w:p>
    <w:p>
      <w:pPr>
        <w:ind w:left="1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$75,000 of the 2026 Unsecured Notes with a fixed interest rate of 4.375% and a maturity date of December 15, 2026. Interest on the 2026 Unsecured Notes is due semi-annually on June 15 and December 15. The 2026 Unsecured Notes were issued in a private placement only to qualified institutional buyers.</w:t>
      </w:r>
    </w:p>
    <w:p>
      <w:pPr>
        <w:spacing w:after="0" w:line="182" w:lineRule="exact"/>
        <w:rPr>
          <w:sz w:val="20"/>
          <w:szCs w:val="20"/>
          <w:color w:val="auto"/>
        </w:rPr>
      </w:pPr>
    </w:p>
    <w:p>
      <w:pPr>
        <w:ind w:left="140" w:right="100" w:firstLine="438"/>
        <w:spacing w:after="0" w:line="262" w:lineRule="auto"/>
        <w:rPr>
          <w:sz w:val="20"/>
          <w:szCs w:val="20"/>
          <w:color w:val="auto"/>
        </w:rPr>
      </w:pPr>
      <w:r>
        <w:rPr>
          <w:rFonts w:ascii="Arial" w:cs="Arial" w:eastAsia="Arial" w:hAnsi="Arial"/>
          <w:sz w:val="18"/>
          <w:szCs w:val="18"/>
          <w:color w:val="auto"/>
        </w:rPr>
        <w:t>On December 28, 2017, the Company closed a private offering of $21,000 of the 2022 Tranche C Notes with a fixed interest rate of 4.50% and a maturity date of December 28, 2022. Interest on the 2022 Tranche C Notes is due semi-annually on June 28 and December 28. The 2022 Tranche C Notes were issued in a private placement only to qualified institutional buyers.</w:t>
      </w:r>
    </w:p>
    <w:p>
      <w:pPr>
        <w:spacing w:after="0" w:line="182" w:lineRule="exact"/>
        <w:rPr>
          <w:sz w:val="20"/>
          <w:szCs w:val="20"/>
          <w:color w:val="auto"/>
        </w:rPr>
      </w:pPr>
    </w:p>
    <w:p>
      <w:pPr>
        <w:ind w:left="140" w:right="400" w:firstLine="438"/>
        <w:spacing w:after="0" w:line="262" w:lineRule="auto"/>
        <w:rPr>
          <w:sz w:val="20"/>
          <w:szCs w:val="20"/>
          <w:color w:val="auto"/>
        </w:rPr>
      </w:pPr>
      <w:r>
        <w:rPr>
          <w:rFonts w:ascii="Arial" w:cs="Arial" w:eastAsia="Arial" w:hAnsi="Arial"/>
          <w:sz w:val="18"/>
          <w:szCs w:val="18"/>
          <w:color w:val="auto"/>
        </w:rPr>
        <w:t>On November 22, 2017, we issued $75,000 in aggregate principal amount of publicly registered 2023 Unsecured Notes for net proceeds of $73,846. Interest on the 2023 Unsecured Notes is paid semi-annually on January 20 and July 20, at a fixed rate of 4.50% per year, commencing on January 20, 2018. The 2023 Unsecured Notes mature on January 20, 2023.</w:t>
      </w:r>
    </w:p>
    <w:p>
      <w:pPr>
        <w:spacing w:after="0" w:line="182" w:lineRule="exact"/>
        <w:rPr>
          <w:sz w:val="20"/>
          <w:szCs w:val="20"/>
          <w:color w:val="auto"/>
        </w:rPr>
      </w:pPr>
    </w:p>
    <w:p>
      <w:pPr>
        <w:jc w:val="both"/>
        <w:ind w:left="140" w:right="80" w:firstLine="438"/>
        <w:spacing w:after="0" w:line="262" w:lineRule="auto"/>
        <w:rPr>
          <w:sz w:val="20"/>
          <w:szCs w:val="20"/>
          <w:color w:val="auto"/>
        </w:rPr>
      </w:pPr>
      <w:r>
        <w:rPr>
          <w:rFonts w:ascii="Arial" w:cs="Arial" w:eastAsia="Arial" w:hAnsi="Arial"/>
          <w:sz w:val="18"/>
          <w:szCs w:val="18"/>
          <w:color w:val="auto"/>
        </w:rPr>
        <w:t>On February 15, 2017, the Company closed a private offering of $100,000 of the 2022 Unsecured Notes with a fixed interest rate of 4.60% and a maturity date of May 8, 2022. Interest on the 2022 Unsecured Notes is due semi-annually on May 8 and November 8. The 2022 Unsecured Notes were issued in a private placement only to qualified institutional buyers.</w:t>
      </w:r>
    </w:p>
    <w:p>
      <w:pPr>
        <w:sectPr>
          <w:pgSz w:w="11900" w:h="16838" w:orient="portrait"/>
          <w:cols w:equalWidth="0" w:num="1">
            <w:col w:w="11040"/>
          </w:cols>
          <w:pgMar w:left="320" w:top="458" w:right="539" w:bottom="1440" w:gutter="0" w:footer="0" w:header="0"/>
        </w:sectPr>
      </w:pP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40"/>
          </w:cols>
          <w:pgMar w:left="320" w:top="458" w:right="5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jc w:val="both"/>
        <w:ind w:left="140" w:right="120" w:firstLine="438"/>
        <w:spacing w:after="0" w:line="262" w:lineRule="auto"/>
        <w:rPr>
          <w:sz w:val="20"/>
          <w:szCs w:val="20"/>
          <w:color w:val="auto"/>
        </w:rPr>
      </w:pPr>
      <w:r>
        <w:rPr>
          <w:rFonts w:ascii="Arial" w:cs="Arial" w:eastAsia="Arial" w:hAnsi="Arial"/>
          <w:sz w:val="18"/>
          <w:szCs w:val="18"/>
          <w:color w:val="auto"/>
        </w:rPr>
        <w:t>On November 8, 2016, the Company closed a private offering of $50,000 of the 2022 Unsecured Notes with a fixed interest rate of 4.40% and a maturity date of May 8, 2022. Interest on the 2022 Unsecured Notes is due semi-annually on May 8 and November 8. The 2022 Unsecured Notes were issued in a private placement only to qualified institutional buyers.</w:t>
      </w: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Revolving and Term Loan Facility</w:t>
      </w:r>
    </w:p>
    <w:p>
      <w:pPr>
        <w:spacing w:after="0" w:line="115" w:lineRule="exact"/>
        <w:rPr>
          <w:sz w:val="20"/>
          <w:szCs w:val="20"/>
          <w:color w:val="auto"/>
        </w:rPr>
      </w:pPr>
    </w:p>
    <w:p>
      <w:pPr>
        <w:ind w:left="140" w:firstLine="438"/>
        <w:spacing w:after="0" w:line="288" w:lineRule="auto"/>
        <w:rPr>
          <w:sz w:val="20"/>
          <w:szCs w:val="20"/>
          <w:color w:val="auto"/>
        </w:rPr>
      </w:pPr>
      <w:r>
        <w:rPr>
          <w:rFonts w:ascii="Arial" w:cs="Arial" w:eastAsia="Arial" w:hAnsi="Arial"/>
          <w:sz w:val="16"/>
          <w:szCs w:val="16"/>
          <w:color w:val="auto"/>
        </w:rPr>
        <w:t>On December 28, 2021, the Company closed on Amendment No. 1 to its August 28, 2019 senior secured credit agreement (the “Credit Facility”). Following the amendment, the Credit Facility is composed of $600,000 of revolving credit and $100,000 of term loans. Borrowings generally bear interest at a rate per annum equal to the base rate plus a range of 1.75%-2.00% or the alternate base rate plus 0.75%-1.00%. The Credit Facility has a 0% floor and matures in December 2026 and includes ratable amortization in the final year. The Credit Facility may be increased up to $800,000 with additional new lenders or an increase in commitments from current lenders. The Credit Facility contains certain customary affirmative and negative covenants and events of default. In addition, the Credit Facility contains certain financial covenants that among other things, requires the Company to maintain a minimum shareholder’s equity and a minimum asset coverage ratio. At March 31, 2022, outstanding USD equivalent borrowings under the Credit Facility totaled $184,000, composed of $84,000 of revolving credit and $100,000 of term loans.</w:t>
      </w:r>
    </w:p>
    <w:p>
      <w:pPr>
        <w:spacing w:after="0" w:line="169" w:lineRule="exact"/>
        <w:rPr>
          <w:sz w:val="20"/>
          <w:szCs w:val="20"/>
          <w:color w:val="auto"/>
        </w:rPr>
      </w:pPr>
    </w:p>
    <w:p>
      <w:pPr>
        <w:ind w:left="140" w:right="200" w:firstLine="438"/>
        <w:spacing w:after="0" w:line="305" w:lineRule="auto"/>
        <w:rPr>
          <w:sz w:val="20"/>
          <w:szCs w:val="20"/>
          <w:color w:val="auto"/>
        </w:rPr>
      </w:pPr>
      <w:r>
        <w:rPr>
          <w:rFonts w:ascii="Arial" w:cs="Arial" w:eastAsia="Arial" w:hAnsi="Arial"/>
          <w:sz w:val="17"/>
          <w:szCs w:val="17"/>
          <w:color w:val="auto"/>
        </w:rPr>
        <w:t>Certain covenants on our issued debt may restrict our business activities, including limitations that could hinder our ability to finance additional loans and investments or to make the distributions required to maintain our status as a RIC under Subchapter M of the Code.</w:t>
      </w:r>
    </w:p>
    <w:p>
      <w:pPr>
        <w:spacing w:after="0" w:line="148" w:lineRule="exact"/>
        <w:rPr>
          <w:sz w:val="20"/>
          <w:szCs w:val="20"/>
          <w:color w:val="auto"/>
        </w:rPr>
      </w:pPr>
    </w:p>
    <w:p>
      <w:pPr>
        <w:ind w:left="140" w:right="140" w:firstLine="438"/>
        <w:spacing w:after="0" w:line="300" w:lineRule="auto"/>
        <w:rPr>
          <w:sz w:val="20"/>
          <w:szCs w:val="20"/>
          <w:color w:val="auto"/>
        </w:rPr>
      </w:pPr>
      <w:r>
        <w:rPr>
          <w:rFonts w:ascii="Arial" w:cs="Arial" w:eastAsia="Arial" w:hAnsi="Arial"/>
          <w:sz w:val="16"/>
          <w:szCs w:val="16"/>
          <w:color w:val="auto"/>
        </w:rPr>
        <w:t>The Company has made an election to apply the fair value option of accounting to the 2022 Unsecured Notes, in accordance with ASC 825-10. We believe accounting for this facility at fair value better aligns the measurement methodologies of assets and liabilities, which may mitigate certain earnings volatility. ASC 825-10 requires entities to display the fair value of the selected assets and liabilities on the face of the Consolidated Statement of Assets and Liabilities and changes in fair value of the above facility are reported in the Consolidated Statement of Operations.</w:t>
      </w:r>
    </w:p>
    <w:p>
      <w:pPr>
        <w:spacing w:after="0" w:line="155" w:lineRule="exact"/>
        <w:rPr>
          <w:sz w:val="20"/>
          <w:szCs w:val="20"/>
          <w:color w:val="auto"/>
        </w:rPr>
      </w:pPr>
    </w:p>
    <w:p>
      <w:pPr>
        <w:ind w:left="140" w:firstLine="438"/>
        <w:spacing w:after="0" w:line="272" w:lineRule="auto"/>
        <w:rPr>
          <w:sz w:val="20"/>
          <w:szCs w:val="20"/>
          <w:color w:val="auto"/>
        </w:rPr>
      </w:pPr>
      <w:r>
        <w:rPr>
          <w:rFonts w:ascii="Arial" w:cs="Arial" w:eastAsia="Arial" w:hAnsi="Arial"/>
          <w:sz w:val="17"/>
          <w:szCs w:val="17"/>
          <w:color w:val="auto"/>
        </w:rPr>
        <w:t>The average annualized interest cost for all borrowings for the three months ended March 31, 2022 and the year ended December 31, 2021 was 3.63% and 3.64%, respectively. These costs are exclusive of other credit facility expenses such as unused fees, agency fees and other prepaid expenses related to establishing and/or amending the Credit Facility, the 2022 Unsecured Notes, the 2022 Tranche C Notes, the 2023 Unsecured Notes, the 2024 Unsecured Notes, the 2026 Unsecured Notes, the 2027 Unsecured Notes and the 2027 Series F Unsecured Notes (collectively the “Debt Instruments”), if any. The maximum amounts borrowed on the Debt Instruments during the three months ended March 31, 2022 and the year ended December 31, 2021 were $836,500 and $902,550,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8"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8. Financial Highlights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is a schedule of financial highlights for the three months ended March 31, 2022 and 2021:</w:t>
      </w:r>
    </w:p>
    <w:p>
      <w:pPr>
        <w:spacing w:after="0" w:line="228"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6"/>
              </w:rPr>
              <w:t>March 31, 2022</w:t>
            </w:r>
          </w:p>
        </w:tc>
        <w:tc>
          <w:tcPr>
            <w:tcW w:w="12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March 31, 2021</w:t>
            </w:r>
          </w:p>
        </w:tc>
        <w:tc>
          <w:tcPr>
            <w:tcW w:w="0" w:type="dxa"/>
            <w:vAlign w:val="bottom"/>
          </w:tcPr>
          <w:p>
            <w:pPr>
              <w:spacing w:after="0"/>
              <w:rPr>
                <w:sz w:val="1"/>
                <w:szCs w:val="1"/>
                <w:color w:val="auto"/>
              </w:rPr>
            </w:pPr>
          </w:p>
        </w:tc>
      </w:tr>
      <w:tr>
        <w:trPr>
          <w:trHeight w:val="195"/>
        </w:trPr>
        <w:tc>
          <w:tcPr>
            <w:tcW w:w="47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Per Share Data: (a)</w:t>
            </w: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720" w:type="dxa"/>
            <w:vAlign w:val="bottom"/>
          </w:tcPr>
          <w:p>
            <w:pPr>
              <w:ind w:left="360"/>
              <w:spacing w:after="0"/>
              <w:rPr>
                <w:sz w:val="20"/>
                <w:szCs w:val="20"/>
                <w:color w:val="auto"/>
              </w:rPr>
            </w:pPr>
            <w:r>
              <w:rPr>
                <w:rFonts w:ascii="Arial" w:cs="Arial" w:eastAsia="Arial" w:hAnsi="Arial"/>
                <w:sz w:val="18"/>
                <w:szCs w:val="18"/>
                <w:color w:val="auto"/>
              </w:rPr>
              <w:t>Net asset value, beginning of year</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2"/>
        </w:trPr>
        <w:tc>
          <w:tcPr>
            <w:tcW w:w="4720" w:type="dxa"/>
            <w:vAlign w:val="bottom"/>
          </w:tcPr>
          <w:p>
            <w:pPr>
              <w:ind w:left="360"/>
              <w:spacing w:after="0"/>
              <w:rPr>
                <w:sz w:val="20"/>
                <w:szCs w:val="20"/>
                <w:color w:val="auto"/>
              </w:rPr>
            </w:pPr>
            <w:r>
              <w:rPr>
                <w:rFonts w:ascii="Arial" w:cs="Arial" w:eastAsia="Arial" w:hAnsi="Arial"/>
                <w:sz w:val="18"/>
                <w:szCs w:val="18"/>
                <w:color w:val="auto"/>
              </w:rPr>
              <w:t>Net realized and unrealized gain (loss)</w:t>
            </w:r>
          </w:p>
        </w:tc>
        <w:tc>
          <w:tcPr>
            <w:tcW w:w="120" w:type="dxa"/>
            <w:vAlign w:val="bottom"/>
          </w:tcPr>
          <w:p>
            <w:pPr>
              <w:spacing w:after="0"/>
              <w:rPr>
                <w:sz w:val="19"/>
                <w:szCs w:val="19"/>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1"/>
        </w:trPr>
        <w:tc>
          <w:tcPr>
            <w:tcW w:w="47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Net increase in net assets resulting from</w:t>
            </w: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Distributions to stockholders: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From net investment income</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22"/>
        </w:trPr>
        <w:tc>
          <w:tcPr>
            <w:tcW w:w="4720" w:type="dxa"/>
            <w:vAlign w:val="bottom"/>
          </w:tcPr>
          <w:p>
            <w:pPr>
              <w:ind w:left="360"/>
              <w:spacing w:after="0"/>
              <w:rPr>
                <w:sz w:val="20"/>
                <w:szCs w:val="20"/>
                <w:color w:val="auto"/>
              </w:rPr>
            </w:pPr>
            <w:r>
              <w:rPr>
                <w:rFonts w:ascii="Arial" w:cs="Arial" w:eastAsia="Arial" w:hAnsi="Arial"/>
                <w:sz w:val="18"/>
                <w:szCs w:val="18"/>
                <w:color w:val="auto"/>
              </w:rPr>
              <w:t>Net asset value,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w:t>
            </w:r>
          </w:p>
        </w:tc>
        <w:tc>
          <w:tcPr>
            <w:tcW w:w="8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 share market value,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360"/>
              <w:spacing w:after="0"/>
              <w:rPr>
                <w:sz w:val="20"/>
                <w:szCs w:val="20"/>
                <w:color w:val="auto"/>
              </w:rPr>
            </w:pPr>
            <w:r>
              <w:rPr>
                <w:rFonts w:ascii="Arial" w:cs="Arial" w:eastAsia="Arial" w:hAnsi="Arial"/>
                <w:sz w:val="18"/>
                <w:szCs w:val="18"/>
                <w:color w:val="auto"/>
              </w:rPr>
              <w:t>Total Return (b)(c)</w:t>
            </w:r>
          </w:p>
        </w:tc>
        <w:tc>
          <w:tcPr>
            <w:tcW w:w="12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assets,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826,417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360"/>
              <w:spacing w:after="0"/>
              <w:rPr>
                <w:sz w:val="20"/>
                <w:szCs w:val="20"/>
                <w:color w:val="auto"/>
              </w:rPr>
            </w:pPr>
            <w:r>
              <w:rPr>
                <w:rFonts w:ascii="Arial" w:cs="Arial" w:eastAsia="Arial" w:hAnsi="Arial"/>
                <w:sz w:val="18"/>
                <w:szCs w:val="18"/>
                <w:color w:val="auto"/>
              </w:rPr>
              <w:t>Shares outstanding, end of period</w:t>
            </w:r>
          </w:p>
        </w:tc>
        <w:tc>
          <w:tcPr>
            <w:tcW w:w="12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42,260,826</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42,260,826</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Ratios to average net assets (c):</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5"/>
        </w:trPr>
        <w:tc>
          <w:tcPr>
            <w:tcW w:w="4720" w:type="dxa"/>
            <w:vAlign w:val="bottom"/>
          </w:tcPr>
          <w:p>
            <w:pPr>
              <w:ind w:left="360"/>
              <w:spacing w:after="0"/>
              <w:rPr>
                <w:sz w:val="20"/>
                <w:szCs w:val="20"/>
                <w:color w:val="auto"/>
              </w:rPr>
            </w:pPr>
            <w:r>
              <w:rPr>
                <w:rFonts w:ascii="Arial" w:cs="Arial" w:eastAsia="Arial" w:hAnsi="Arial"/>
                <w:sz w:val="18"/>
                <w:szCs w:val="18"/>
                <w:color w:val="auto"/>
              </w:rPr>
              <w:t>Interest and other credit facility expenses</w:t>
            </w:r>
          </w:p>
        </w:tc>
        <w:tc>
          <w:tcPr>
            <w:tcW w:w="120" w:type="dxa"/>
            <w:vAlign w:val="bottom"/>
          </w:tcPr>
          <w:p>
            <w:pPr>
              <w:spacing w:after="0"/>
              <w:rPr>
                <w:sz w:val="18"/>
                <w:szCs w:val="18"/>
                <w:color w:val="auto"/>
              </w:rPr>
            </w:pP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Average debt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815,194</w:t>
            </w:r>
          </w:p>
        </w:tc>
        <w:tc>
          <w:tcPr>
            <w:tcW w:w="8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692,956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Portfolio turnover ratio</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85090</wp:posOffset>
            </wp:positionV>
            <wp:extent cx="767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275" w:lineRule="exact"/>
        <w:rPr>
          <w:sz w:val="20"/>
          <w:szCs w:val="20"/>
          <w:color w:val="auto"/>
        </w:rPr>
      </w:pPr>
    </w:p>
    <w:p>
      <w:pPr>
        <w:ind w:left="580" w:hanging="43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using the average shares outstanding method.</w:t>
      </w:r>
    </w:p>
    <w:p>
      <w:pPr>
        <w:spacing w:after="0" w:line="22" w:lineRule="exact"/>
        <w:rPr>
          <w:rFonts w:ascii="Arial" w:cs="Arial" w:eastAsia="Arial" w:hAnsi="Arial"/>
          <w:sz w:val="18"/>
          <w:szCs w:val="18"/>
          <w:color w:val="auto"/>
        </w:rPr>
      </w:pPr>
    </w:p>
    <w:p>
      <w:pPr>
        <w:ind w:left="580" w:hanging="438"/>
        <w:spacing w:after="0" w:line="249"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distributions, if any, reinvested in accordance with the dividend reinvestment plan. The market price per share as of December 31, 2021 and December 31, 2020 was $18.43 and $17.51, respectively. Total return does not include a sales load.</w:t>
      </w:r>
    </w:p>
    <w:p>
      <w:pPr>
        <w:ind w:left="580" w:hanging="438"/>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annualized for periods less than one year.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8"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9. SLR Credit Solutions</w:t>
      </w:r>
    </w:p>
    <w:p>
      <w:pPr>
        <w:spacing w:after="0" w:line="119" w:lineRule="exact"/>
        <w:rPr>
          <w:sz w:val="20"/>
          <w:szCs w:val="20"/>
          <w:color w:val="auto"/>
        </w:rPr>
      </w:pPr>
    </w:p>
    <w:p>
      <w:pPr>
        <w:ind w:left="140" w:firstLine="438"/>
        <w:spacing w:after="0" w:line="290" w:lineRule="auto"/>
        <w:rPr>
          <w:sz w:val="20"/>
          <w:szCs w:val="20"/>
          <w:color w:val="auto"/>
        </w:rPr>
      </w:pPr>
      <w:r>
        <w:rPr>
          <w:rFonts w:ascii="Arial" w:cs="Arial" w:eastAsia="Arial" w:hAnsi="Arial"/>
          <w:sz w:val="16"/>
          <w:szCs w:val="16"/>
          <w:color w:val="auto"/>
        </w:rPr>
        <w:t>On December 28, 2012, we acquired an equity interest in Crystal Capital Financial Holdings LLC (“Crystal Financial”) for $275,000 in cash. Crystal Financial owned approximately 98% of the outstanding ownership interest in SLR Credit Solutions (“SLR Credit”), f/k/a Crystal Financial LLC. The remaining financial interest was held by various employees of SLR Credit, through their investment in Crystal Management LP. SLR Credit had a diversified portfolio of 23 loans having a total par value of approximately $400,000 at November 30, 2012 and a $275,000 committed revolving credit facility. On July 28, 2016, the Company purchased Crystal Management LP’s approximately 2% equity interest in SLR Credit for approximately $5,737. Upon the closing of this transaction, the Company holds 100% of the equity interest in SLR Credit. On September 30, 2016, Crystal Capital Financial Holdings LLC was dissolved. As of March 31, 2022, total commitments to the revolving credit facility are $250,000.</w:t>
      </w:r>
    </w:p>
    <w:p>
      <w:pPr>
        <w:spacing w:after="0" w:line="164" w:lineRule="exact"/>
        <w:rPr>
          <w:sz w:val="20"/>
          <w:szCs w:val="20"/>
          <w:color w:val="auto"/>
        </w:rPr>
      </w:pPr>
    </w:p>
    <w:p>
      <w:pPr>
        <w:ind w:left="140" w:right="60" w:firstLine="438"/>
        <w:spacing w:after="0" w:line="253" w:lineRule="auto"/>
        <w:rPr>
          <w:sz w:val="20"/>
          <w:szCs w:val="20"/>
          <w:color w:val="auto"/>
        </w:rPr>
      </w:pPr>
      <w:r>
        <w:rPr>
          <w:rFonts w:ascii="Arial" w:cs="Arial" w:eastAsia="Arial" w:hAnsi="Arial"/>
          <w:sz w:val="18"/>
          <w:szCs w:val="18"/>
          <w:color w:val="auto"/>
        </w:rPr>
        <w:t>As of March 31, 2022 SLR Credit had 24 funded commitments to 20 different issuers with total funded loans of approximately $305,574 on total assets of $362,878. As of December 31, 2021 SLR Credit had 22 funded commitments to 19 different issuers with total funded loans of approximately $287,375 on total assets of $347,821. As of March 31, 2022 and December 31, 2021, the largest loan outstanding totaled $34,433 and $35,000, respectively. For the same periods, the average exposure per issuer was $15,279 and $15,125, respectively. SLR Credit’s credit facility, which is non-recourse to the Company, had approximately $125,894 and $100,742 of borrowings outstanding at March 31, 2022 and December 31, 2021, respectively. For the three months ended March 31, 2022 and 2021, SLR Credit had net income of $2,780 and $4,940, respectively, on gross income of $6,694 and $9,676, respectively. Due to timing and non-cash items, there may be material differences between GAAP net income and cash available for distributions.</w:t>
      </w:r>
    </w:p>
    <w:p>
      <w:pPr>
        <w:spacing w:after="0" w:line="29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ind w:left="140" w:right="160" w:firstLine="438"/>
        <w:spacing w:after="0" w:line="262" w:lineRule="auto"/>
        <w:rPr>
          <w:sz w:val="20"/>
          <w:szCs w:val="20"/>
          <w:color w:val="auto"/>
        </w:rPr>
      </w:pPr>
      <w:r>
        <w:rPr>
          <w:rFonts w:ascii="Arial" w:cs="Arial" w:eastAsia="Arial" w:hAnsi="Arial"/>
          <w:sz w:val="18"/>
          <w:szCs w:val="18"/>
          <w:color w:val="auto"/>
        </w:rPr>
        <w:t>The Company had unfunded debt and equity commitments to various revolving and delayed-draw term loans as well as to SLR Credit. The total amount of these unfunded commitments as of March 31, 2022 and December 31, 2021 is $224,912 and $226,733, respectively, comprised of the following:</w:t>
      </w:r>
    </w:p>
    <w:p>
      <w:pPr>
        <w:spacing w:after="0" w:line="187"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0"/>
        </w:trPr>
        <w:tc>
          <w:tcPr>
            <w:tcW w:w="20" w:type="dxa"/>
            <w:vAlign w:val="bottom"/>
          </w:tcPr>
          <w:p>
            <w:pPr>
              <w:spacing w:after="0"/>
              <w:rPr>
                <w:sz w:val="14"/>
                <w:szCs w:val="14"/>
                <w:color w:val="auto"/>
              </w:rPr>
            </w:pPr>
          </w:p>
        </w:tc>
        <w:tc>
          <w:tcPr>
            <w:tcW w:w="6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SLR Credit Solutions*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Arcutis Biotherapeutics, Inc.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43,470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43,470</w:t>
            </w: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Glooko,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25,091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25,091</w:t>
            </w: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BridgeBio Pharma, Inc.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23,049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23,049</w:t>
            </w: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CC SAG Holdings Corp. (Spectrum Automotive)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18,827</w:t>
            </w: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Inszone Mid, LLC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10,644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12,465</w:t>
            </w: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Vapotherm,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7,133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Ardelyx, Inc.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6,420</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One Touch Direct, LLC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4,670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Ivy Fertility Services, LLC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4,532</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4,532</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SOC Telemed,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4,448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Maurices, Incorporated</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4,237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5,649</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NAC Holdings Corporation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3,938</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RQM+ Corp.</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3,818</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3,818</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Atria Wealth Solutions,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3,746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Rezolute, Inc.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2,837</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5,675</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Fun,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Kid Distro Holdings, LLC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2,650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MMIT Holdings, LLC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2,296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Foundation Consumer Brands, LLC</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2,269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2,269</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SunMed Group Holdings, LLC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828</w:t>
            </w: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SLR Equipment Finance</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Pinnacle Treatment Centers, Inc.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American Teleconferencing Services, Ltd.</w:t>
            </w: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Ultimate Baked Goods Midco LLC</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r>
      <w:tr>
        <w:trPr>
          <w:trHeight w:val="222"/>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Neuronetics, Inc.</w:t>
            </w: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4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Commitments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224,912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226,733</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The Company controls the funding of the SLR Credit Solutions commitment and may cancel it at its discretion.</w:t>
      </w:r>
    </w:p>
    <w:p>
      <w:pPr>
        <w:sectPr>
          <w:pgSz w:w="11900" w:h="16838" w:orient="portrait"/>
          <w:cols w:equalWidth="0" w:num="1">
            <w:col w:w="11080"/>
          </w:cols>
          <w:pgMar w:left="320" w:top="458" w:right="499" w:bottom="1440" w:gutter="0" w:footer="0" w:header="0"/>
        </w:sectPr>
      </w:pP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80"/>
          </w:cols>
          <w:pgMar w:left="320" w:top="458" w:right="4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right="160" w:firstLine="438"/>
        <w:spacing w:after="0" w:line="272" w:lineRule="auto"/>
        <w:rPr>
          <w:sz w:val="20"/>
          <w:szCs w:val="20"/>
          <w:color w:val="auto"/>
        </w:rPr>
      </w:pPr>
      <w:r>
        <w:rPr>
          <w:rFonts w:ascii="Arial" w:cs="Arial" w:eastAsia="Arial" w:hAnsi="Arial"/>
          <w:sz w:val="17"/>
          <w:szCs w:val="17"/>
          <w:color w:val="auto"/>
        </w:rPr>
        <w:t>The credit agreements of the above loan commitments contain customary lending provisions and/or are subject to the portfolio company’s achievement of certain milestones that allow relief to the Company from funding obligations for previously made commitments in instances where the underlying company experiences materially adverse events that affect the financial condition or business outlook for the company. Since these commitments may expire without being drawn upon, unfunded commitments do not necessarily represent future cash requirements or future earning assets for the Company. As of March 31, 2022 and December 31, 2021, the Company had sufficient cash available and/or liquid securities available to fund its commitments and had reviewed them for any appropriate fair value adjustment.</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Merger Litigation</w:t>
      </w:r>
    </w:p>
    <w:p>
      <w:pPr>
        <w:spacing w:after="0" w:line="115" w:lineRule="exact"/>
        <w:rPr>
          <w:sz w:val="20"/>
          <w:szCs w:val="20"/>
          <w:color w:val="auto"/>
        </w:rPr>
      </w:pPr>
    </w:p>
    <w:p>
      <w:pPr>
        <w:ind w:left="140" w:right="260" w:firstLine="438"/>
        <w:spacing w:after="0" w:line="300" w:lineRule="auto"/>
        <w:rPr>
          <w:sz w:val="20"/>
          <w:szCs w:val="20"/>
          <w:color w:val="auto"/>
        </w:rPr>
      </w:pPr>
      <w:r>
        <w:rPr>
          <w:rFonts w:ascii="Arial" w:cs="Arial" w:eastAsia="Arial" w:hAnsi="Arial"/>
          <w:sz w:val="16"/>
          <w:szCs w:val="16"/>
          <w:color w:val="auto"/>
        </w:rPr>
        <w:t>On January 17, 2022, a stockholder complaint was filed in the United States District Court for the Eastern District of New York, against the Company and the members of the Board, entitled Gates v. SLR Investment Corp., et al., No. 1:22-cv-00261 (the “Gates Complaint”). On January 21, 2022, a stockholder complaint was filed in the United States District Court for the Southern District of New York, against the Company and the members of the Board, entitled Shumacher v. SLR Investment Corp., et al., No. 1:22-cv-00576 (the “Shumacher Complaint”).</w:t>
      </w:r>
    </w:p>
    <w:p>
      <w:pPr>
        <w:spacing w:after="0" w:line="155" w:lineRule="exact"/>
        <w:rPr>
          <w:sz w:val="20"/>
          <w:szCs w:val="20"/>
          <w:color w:val="auto"/>
        </w:rPr>
      </w:pPr>
    </w:p>
    <w:p>
      <w:pPr>
        <w:ind w:left="140" w:right="40" w:firstLine="438"/>
        <w:spacing w:after="0" w:line="310" w:lineRule="auto"/>
        <w:rPr>
          <w:sz w:val="20"/>
          <w:szCs w:val="20"/>
          <w:color w:val="auto"/>
        </w:rPr>
      </w:pPr>
      <w:r>
        <w:rPr>
          <w:rFonts w:ascii="Arial" w:cs="Arial" w:eastAsia="Arial" w:hAnsi="Arial"/>
          <w:sz w:val="16"/>
          <w:szCs w:val="16"/>
          <w:color w:val="auto"/>
        </w:rPr>
        <w:t>On January 31, 2022, two putative class action stockholder complaints were filed in the Circuit Court for Baltimore City, Maryland against SUNS and the members of the Board of Directors of SUNS (the “SUNS Board”), captioned respectively Neal v. Gross, et al., No. 24-C-22-000557 (Md. Cir. Ct. Baltimore City) (the “Neal Complaint”), and Tobin v. Gross, et al., 24-C-22-000558 (Md. Cir. Ct. Baltimore City) (the “Tobin Complaint”).</w:t>
      </w:r>
    </w:p>
    <w:p>
      <w:pPr>
        <w:spacing w:after="0" w:line="147" w:lineRule="exact"/>
        <w:rPr>
          <w:sz w:val="20"/>
          <w:szCs w:val="20"/>
          <w:color w:val="auto"/>
        </w:rPr>
      </w:pPr>
    </w:p>
    <w:p>
      <w:pPr>
        <w:ind w:left="140" w:firstLine="438"/>
        <w:spacing w:after="0" w:line="268" w:lineRule="auto"/>
        <w:rPr>
          <w:sz w:val="20"/>
          <w:szCs w:val="20"/>
          <w:color w:val="auto"/>
        </w:rPr>
      </w:pPr>
      <w:r>
        <w:rPr>
          <w:rFonts w:ascii="Arial" w:cs="Arial" w:eastAsia="Arial" w:hAnsi="Arial"/>
          <w:sz w:val="17"/>
          <w:szCs w:val="17"/>
          <w:color w:val="auto"/>
        </w:rPr>
        <w:t>On February 8, 2022, a stockholder complaint was filed in the United States District Court for the Southern District of New York, against SUNS and the members of the SUNS Board, entitled Kershner v. SLR Senior Investment Corp., et al., No. 1:22-cv-01096 (the “Kershner Complaint”). On February 21, 2022, a stockholder complaint was filed in the United States District Court for the Southern District of New York, against SUNS and the members of the SUNS Board, entitled Sharp v. SLR Senior Investment Corp., et al., No. 1:22-cv-01418 (the “Sharp Complaint”). On February 22, 2022, a stockholder complaint was filed in the United States District Court for the Southern District of New York, against SUNS, the members of the SUNS Board, us, and the Investment Adviser, entitled Ciccotelli v. SLR Senior Investment Corp., et al., No. 1:22-cv-01454 (the “Ciccotelli Complaint”). On February 22, 2022, a stockholder complaint was filed in the United States District Court for the Eastern District of Pennsylvania, against SUNS and the members of the SUNS Board entitled Justice v. SLR Senior Investment Corp., et al., No. 2:22-cv-00673 (the “Justice Complaint,” and together with the Gates Complaint, the Schumacher Complaint, the Neal Complaint, the Tobin Complaint, the Kershner Complaint, the Sharp Complaint, the Ciccotelli Complaint and the Justice Complaint, the “Merger Complaints”).</w:t>
      </w:r>
    </w:p>
    <w:p>
      <w:pPr>
        <w:spacing w:after="0" w:line="182" w:lineRule="exact"/>
        <w:rPr>
          <w:sz w:val="20"/>
          <w:szCs w:val="20"/>
          <w:color w:val="auto"/>
        </w:rPr>
      </w:pPr>
    </w:p>
    <w:p>
      <w:pPr>
        <w:ind w:left="140" w:firstLine="438"/>
        <w:spacing w:after="0" w:line="272" w:lineRule="auto"/>
        <w:rPr>
          <w:sz w:val="20"/>
          <w:szCs w:val="20"/>
          <w:color w:val="auto"/>
        </w:rPr>
      </w:pPr>
      <w:r>
        <w:rPr>
          <w:rFonts w:ascii="Arial" w:cs="Arial" w:eastAsia="Arial" w:hAnsi="Arial"/>
          <w:sz w:val="17"/>
          <w:szCs w:val="17"/>
          <w:color w:val="auto"/>
        </w:rPr>
        <w:t>Each of the Gates and Schumacher Complaints alleged, among other things, that the joint proxy statement/prospectus initially filed with the SEC on December 16, 2021 contained materially misleading and incomplete disclosures. Each of the Gates and Schumacher Complaints sought, among other things, that supplemental disclosures be made to the joint proxy statement/ prospectus to address the alleged materially misleading and incomplete disclosures. As a result of the alleged omissions, each of the Gates and Schumacher Complaints sought to hold the Company and its directors liable for violating Section 14(a) of the Exchange Act and Rule 14a-9 promulgated thereunder, and additionally sought to hold the Company’s directors liable as control persons pursuant to Section 20(a) of the Exchange Act.</w:t>
      </w:r>
    </w:p>
    <w:p>
      <w:pPr>
        <w:spacing w:after="0" w:line="176" w:lineRule="exact"/>
        <w:rPr>
          <w:sz w:val="20"/>
          <w:szCs w:val="20"/>
          <w:color w:val="auto"/>
        </w:rPr>
      </w:pPr>
    </w:p>
    <w:p>
      <w:pPr>
        <w:ind w:left="140" w:right="40" w:firstLine="438"/>
        <w:spacing w:after="0" w:line="292" w:lineRule="auto"/>
        <w:rPr>
          <w:sz w:val="20"/>
          <w:szCs w:val="20"/>
          <w:color w:val="auto"/>
        </w:rPr>
      </w:pPr>
      <w:r>
        <w:rPr>
          <w:rFonts w:ascii="Arial" w:cs="Arial" w:eastAsia="Arial" w:hAnsi="Arial"/>
          <w:sz w:val="16"/>
          <w:szCs w:val="16"/>
          <w:color w:val="auto"/>
        </w:rPr>
        <w:t>Each of the Neal and Tobin Complaints alleged, among other things, that the members of the SUNS Board breached their fiduciary duties when they approved the proposed merger between SUNS and the Company, and that the disclosures in the joint proxy statement/prospectus initially filed with the SEC on December 16, 2021 contained materially misleading and incomplete disclosures. Each of Neal and Tobin Complaints raised these claims under Maryland law, and sought: (i) certification that the case can be maintained as a class action, with the plaintiff named as a representative of the proposed class (consisting of the public shareholders of SUNS); (ii) an order enjoining the shareholder vote to approve the proposed merger between SUNS and the Company; and (iii) rescission of the proposed merger between SUNS and the Company.</w:t>
      </w:r>
    </w:p>
    <w:p>
      <w:pPr>
        <w:spacing w:after="0" w:line="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8"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right="20" w:firstLine="438"/>
        <w:spacing w:after="0" w:line="269" w:lineRule="auto"/>
        <w:rPr>
          <w:sz w:val="20"/>
          <w:szCs w:val="20"/>
          <w:color w:val="auto"/>
        </w:rPr>
      </w:pPr>
      <w:r>
        <w:rPr>
          <w:rFonts w:ascii="Arial" w:cs="Arial" w:eastAsia="Arial" w:hAnsi="Arial"/>
          <w:sz w:val="17"/>
          <w:szCs w:val="17"/>
          <w:color w:val="auto"/>
        </w:rPr>
        <w:t>The defendants believe that the Company made complete disclosure of all information required to be disclosed to ensure that the Company’s stockholders were able to make an informed vote at the Company’s Special Meeting of Stockholders held on March 22, 2022 and that the additional disclosures requested by the plaintiff were immaterial and/or were included in the preliminary joint proxy statement/prospectus filed as part of the Company’s Registration Statement on Form N-14 on December 16, 2021. Accordingly, the defendants believe these claims are without merit and intend to vigorously defend against them. However, in an attempt to reduce the costs, risks and uncertainties inherent in litigation and to maximize the Company’s net asset value at the time of the Mergers, the Company determined to voluntarily include certain supplemental disclosures in its Current Report on Form 8-K filed on March 14, 2022. The inclusion of such disclosures shall not be deemed an admission of the legal necessity or materiality of any of these disclosures under applicable law. Rather, the Company and the Board specifically denied all allegations in the Merger Complaints that any additional disclosure was or is required.</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11. SLR Equipment Finance</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July 31, 2017, we acquired a 100% equity interest in NEF Holdings, LLC, which conducts its business through its wholly-owned subsidiary</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Nations Equipment Finance, LLC. Effective February 25, 2021, Nations Equipment Finance, LLC and its related companies is doing business as SLR</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Equipment Finance (“SLR Equipment”). SLR Equipment is an independent equipment finance company that provides senior secured loans and leases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primarily to U.S. based companies. We invested $209,866 in cash to effect the transaction, of which $145,000 was invested in the equity of SLR</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Equipment through our wholly-owned consolidated taxable subsidiary NEFCORP LLC and our wholly-owned consolidated subsidiary NEFPASS LLC</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and $64,866 was used to purchase certain leases and loans held by SLR Equipment through NEFPASS LLC. Concurrent with the transaction, SLR</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Equipment refinanced its existing senior secured credit facility into a $150,000 non-recourse facility with an accordion feature to expand up to</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$250,000. In September 2019, SLR Equipment amended the facility, increasing commitments to $213,957 with an accordion feature to expand up to</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$313,957 and extended the maturity date of the facility to July 31, 2023.</w:t>
      </w:r>
    </w:p>
    <w:p>
      <w:pPr>
        <w:spacing w:after="0" w:line="208" w:lineRule="exact"/>
        <w:rPr>
          <w:sz w:val="20"/>
          <w:szCs w:val="20"/>
          <w:color w:val="auto"/>
        </w:rPr>
      </w:pPr>
    </w:p>
    <w:p>
      <w:pPr>
        <w:ind w:left="140" w:firstLine="438"/>
        <w:spacing w:after="0" w:line="288" w:lineRule="auto"/>
        <w:rPr>
          <w:sz w:val="20"/>
          <w:szCs w:val="20"/>
          <w:color w:val="auto"/>
        </w:rPr>
      </w:pPr>
      <w:r>
        <w:rPr>
          <w:rFonts w:ascii="Arial" w:cs="Arial" w:eastAsia="Arial" w:hAnsi="Arial"/>
          <w:sz w:val="16"/>
          <w:szCs w:val="16"/>
          <w:color w:val="auto"/>
        </w:rPr>
        <w:t>As of March 31, 2022, SLR Equipment had 134 funded equipment-backed leases and loans to 59 different customers with a total net investment in leases and loans of approximately $198,611 on total assets of $252,841. As of December 31, 2021, SLR Equipment had 135 funded equipment-backed leases and loans to 61 different customers with a total net investment in leases and loans of approximately $210,986 on total assets of $264,007. As of March 31, 2022 and December 31, 2021, the largest position outstanding totaled $19,259 and $19,207, respectively. For the same periods, the average exposure per customer was $3,366 and $3,459, respectively. SLR Equipment’s credit facility, which is non-recourse to the Company, had approximately $110,969 and $118,002 of borrowings outstanding at March 31, 2022 and December 31, 2021, respectively. For the three months ended March 31, 2022 and March 31, 2021, SLR Equipment had net income (loss) of $594 and ($318), respectively, on gross income of $5,173 and $4,894, respectively. Due to timing and non-cash items, there may be material differences between GAAP net income and cash available for distributions.</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12. Capital Share Transactions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March 31, 2022 and March 31, 2021, 200,000,000 shares of $0.01 par value capital stock were authorized.</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transactions in capital stock during the three months ended March 31, 2022 and March 31, 2021.</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13. Kingsbridge Holdings, LLC</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On November 3, 2020, the Company acquired an 87.5% equity interest in Kingsbridge Holdings, LLC (“KBH”) through KBH Topco LLC</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(“KBHT”), a newly formed Delaware corporation. KBH is a residual focused independent mid-ticket lessor of equipment primarily to U.S. investment</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grade companies. The Company invested $216,596 to effect the transaction, of which $136,596 was invested to acquire 87.5% of KBHT’s equity and</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$80,000 in KBH’s debt. The existing management team of KBH committed to continue to lead KBH after the transaction. Following the transaction,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 owns 87.5% of KBHT equity and the KBH management team owns the remaining 12.5% of KBHT’s equity.</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8"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right="60" w:firstLine="438"/>
        <w:spacing w:after="0" w:line="292" w:lineRule="auto"/>
        <w:rPr>
          <w:sz w:val="20"/>
          <w:szCs w:val="20"/>
          <w:color w:val="auto"/>
        </w:rPr>
      </w:pPr>
      <w:r>
        <w:rPr>
          <w:rFonts w:ascii="Arial" w:cs="Arial" w:eastAsia="Arial" w:hAnsi="Arial"/>
          <w:sz w:val="16"/>
          <w:szCs w:val="16"/>
          <w:color w:val="auto"/>
        </w:rPr>
        <w:t>As of March 31, 2022 and December 31, 2021, KBHT had total assets of $729,363 and $738,425, respectively. For the same periods, debt recourse to KBHT totaled $221,392 and $216,881, respectively, and non-recourse debt totaled $321,205 and $323,844, respectively. None of the debt is recourse to the Company. For the three months ended March 31, 2022 and 2021, KBHT had net income of $3,399 and $2,267, respectively, on gross income of $66,426 and $58,146, respectively. Due to timing and non-cash items, there may be material differences between GAAP net income and cash available for distributions. As such, and subject to fluctuations in KBHT’s funded commitments, the timing of originations, and the repayments of financings, the Company cannot guarantee that KBHT will be able to maintain consistent dividend payments to us.</w:t>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14. Pending Merger with SUNS</w:t>
      </w:r>
    </w:p>
    <w:p>
      <w:pPr>
        <w:spacing w:after="0" w:line="119" w:lineRule="exact"/>
        <w:rPr>
          <w:sz w:val="20"/>
          <w:szCs w:val="20"/>
          <w:color w:val="auto"/>
        </w:rPr>
      </w:pPr>
    </w:p>
    <w:p>
      <w:pPr>
        <w:ind w:left="140" w:right="20" w:firstLine="438"/>
        <w:spacing w:after="0" w:line="274" w:lineRule="auto"/>
        <w:rPr>
          <w:sz w:val="20"/>
          <w:szCs w:val="20"/>
          <w:color w:val="auto"/>
        </w:rPr>
      </w:pPr>
      <w:r>
        <w:rPr>
          <w:rFonts w:ascii="Arial" w:cs="Arial" w:eastAsia="Arial" w:hAnsi="Arial"/>
          <w:sz w:val="17"/>
          <w:szCs w:val="17"/>
          <w:color w:val="auto"/>
        </w:rPr>
        <w:t>On December 1, 2021, we entered into the Merger Agreement, which provides that, subject to the conditions set forth in the Merger Agreement, Merger Sub will merge with and into SUNS, with SUNS continuing as the surviving company and as our wholly-owned subsidiary and, immediately thereafter, SUNS will merge with and into us, with us continuing as the surviving company. Both the Board and SUNS’s board of directors, including all of the respective independent directors, in each case, on the recommendation of a special committee comprised solely of the independent directors of us or SUNS, as applicable, have approved the Merger Agreement and the transactions contemplated thereby.</w:t>
      </w:r>
    </w:p>
    <w:p>
      <w:pPr>
        <w:spacing w:after="0" w:line="174" w:lineRule="exact"/>
        <w:rPr>
          <w:sz w:val="20"/>
          <w:szCs w:val="20"/>
          <w:color w:val="auto"/>
        </w:rPr>
      </w:pPr>
    </w:p>
    <w:p>
      <w:pPr>
        <w:ind w:left="140" w:right="480" w:firstLine="438"/>
        <w:spacing w:after="0" w:line="262" w:lineRule="auto"/>
        <w:rPr>
          <w:sz w:val="20"/>
          <w:szCs w:val="20"/>
          <w:color w:val="auto"/>
        </w:rPr>
      </w:pPr>
      <w:r>
        <w:rPr>
          <w:rFonts w:ascii="Arial" w:cs="Arial" w:eastAsia="Arial" w:hAnsi="Arial"/>
          <w:sz w:val="18"/>
          <w:szCs w:val="18"/>
          <w:color w:val="auto"/>
        </w:rPr>
        <w:t>The Merger Agreement contains customary representations and warranties by each of us, SUNS and the Investment Adviser. The Merger Agreement also contains customary covenants, including, among others, covenants relating to the operation of each of our and SUNS’s businesses during the period prior to the closing of the Mergers.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Consummation of the Mergers, which occurred on April 1, 2022, was subject to certain closing conditions as disclosed in the Merger Agreement.</w:t>
      </w: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Note 15. Subsequent Events</w:t>
      </w:r>
    </w:p>
    <w:p>
      <w:pPr>
        <w:spacing w:after="0" w:line="119" w:lineRule="exact"/>
        <w:rPr>
          <w:sz w:val="20"/>
          <w:szCs w:val="20"/>
          <w:color w:val="auto"/>
        </w:rPr>
      </w:pPr>
    </w:p>
    <w:p>
      <w:pPr>
        <w:ind w:left="140" w:right="520" w:firstLine="438"/>
        <w:spacing w:after="0" w:line="275" w:lineRule="auto"/>
        <w:rPr>
          <w:sz w:val="20"/>
          <w:szCs w:val="20"/>
          <w:color w:val="auto"/>
        </w:rPr>
      </w:pPr>
      <w:r>
        <w:rPr>
          <w:rFonts w:ascii="Arial" w:cs="Arial" w:eastAsia="Arial" w:hAnsi="Arial"/>
          <w:sz w:val="18"/>
          <w:szCs w:val="18"/>
          <w:color w:val="auto"/>
        </w:rPr>
        <w:t>The Company has evaluated the need for disclosures and/or adjustments resulting from subsequent events through the date the consolidated financial statements were issued.</w:t>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Merger</w:t>
      </w:r>
    </w:p>
    <w:p>
      <w:pPr>
        <w:spacing w:after="0" w:line="115" w:lineRule="exact"/>
        <w:rPr>
          <w:sz w:val="20"/>
          <w:szCs w:val="20"/>
          <w:color w:val="auto"/>
        </w:rPr>
      </w:pPr>
    </w:p>
    <w:p>
      <w:pPr>
        <w:ind w:left="140" w:right="160" w:firstLine="438"/>
        <w:spacing w:after="0" w:line="272" w:lineRule="auto"/>
        <w:rPr>
          <w:sz w:val="20"/>
          <w:szCs w:val="20"/>
          <w:color w:val="auto"/>
        </w:rPr>
      </w:pPr>
      <w:r>
        <w:rPr>
          <w:rFonts w:ascii="Arial" w:cs="Arial" w:eastAsia="Arial" w:hAnsi="Arial"/>
          <w:sz w:val="17"/>
          <w:szCs w:val="17"/>
          <w:color w:val="auto"/>
        </w:rPr>
        <w:t>On April 1, 2022, the Company completed its previously announced acquisition of SUNS. Pursuant to the Merger Agreement, Merger Sub was first merged with and into SUNS, with SUNS as the surviving corporation, and, immediately following the Merger, SUNS was then merged with and into the Company, with the Company as the surviving company. In accordance with the terms of the Merger Agreement, at the effective time of the Merger, each outstanding share of SUNS’s common stock was converted into the right to receive 0.7796 shares of the Company’s common stock (with SUNS’s stockholders receiving cash in lieu of fractional shares of the Company’s common stock). As a result of the Mergers, the Company issued an aggregate of 12,511,825 shares of its common stock to former SUNS stockholders.</w:t>
      </w:r>
    </w:p>
    <w:p>
      <w:pPr>
        <w:spacing w:after="0" w:line="176" w:lineRule="exact"/>
        <w:rPr>
          <w:sz w:val="20"/>
          <w:szCs w:val="20"/>
          <w:color w:val="auto"/>
        </w:rPr>
      </w:pPr>
    </w:p>
    <w:p>
      <w:pPr>
        <w:ind w:left="140" w:firstLine="438"/>
        <w:spacing w:after="0" w:line="290" w:lineRule="auto"/>
        <w:rPr>
          <w:sz w:val="20"/>
          <w:szCs w:val="20"/>
          <w:color w:val="auto"/>
        </w:rPr>
      </w:pPr>
      <w:r>
        <w:rPr>
          <w:rFonts w:ascii="Arial" w:cs="Arial" w:eastAsia="Arial" w:hAnsi="Arial"/>
          <w:sz w:val="16"/>
          <w:szCs w:val="16"/>
          <w:color w:val="auto"/>
        </w:rPr>
        <w:t>The Merger will be accounted for as an asset acquisition of SLR Senior Investment Corp. by the Company in accordance with the asset acquisition method of accounting as detailed in ASC 805-50, Business Combinations – Related Issues, with the fair value of total consideration paid in conjunction with the Merger allocated to the assets acquired and liabilities assumed based on their relative fair values as of the date of the Merger. Generally, under asset acquisition accounting, acquiring assets in groups not only requires ascertaining the cost of the asset (or net assets), but also allocating that cost to the individual assets (or individual assets and liabilities) that make up the group. The cost of the group of assets acquired in an asset acquisition is allocated to the individual assets acquired or liabilities assumed based on their relative fair values of net identifiable assets acquired other than certain “non-qualifying” assets (for example cash) and does not give rise to goodwill. The Company will be the accounting survivor of the Merger.</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Letter Agreement</w:t>
      </w:r>
    </w:p>
    <w:p>
      <w:pPr>
        <w:spacing w:after="0" w:line="115" w:lineRule="exact"/>
        <w:rPr>
          <w:sz w:val="20"/>
          <w:szCs w:val="20"/>
          <w:color w:val="auto"/>
        </w:rPr>
      </w:pPr>
    </w:p>
    <w:p>
      <w:pPr>
        <w:ind w:left="140" w:right="40" w:firstLine="438"/>
        <w:spacing w:after="0" w:line="295" w:lineRule="auto"/>
        <w:rPr>
          <w:sz w:val="20"/>
          <w:szCs w:val="20"/>
          <w:color w:val="auto"/>
        </w:rPr>
      </w:pPr>
      <w:r>
        <w:rPr>
          <w:rFonts w:ascii="Arial" w:cs="Arial" w:eastAsia="Arial" w:hAnsi="Arial"/>
          <w:sz w:val="16"/>
          <w:szCs w:val="16"/>
          <w:color w:val="auto"/>
        </w:rPr>
        <w:t>On April 1, 2022, in connection with the consummation of the Mergers, the Company entered into a letter agreement (the “Letter Agreement”) pursuant to which the Investment Adviser voluntarily agreed to a permanent 25 basis point reduction of the annual base management fee rate payable by the Company to the Investment Adviser pursuant to the Advisory Agreement, resulting in an annual base management fee rate payable by the Company to the Investment Adviser of 1.50% on gross assets up to 200% of the Company’s total net assets. The Company retained the annual base management fee rate payable by the Company to the Investment Adviser of 1.00% on gross assets that exceed 200% of the Company’s total net assets.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8"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SLR INVESTMENT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(unaudited)(continued)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2022</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amounts)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Assumption of SUNS Credit Facility</w:t>
      </w:r>
    </w:p>
    <w:p>
      <w:pPr>
        <w:spacing w:after="0" w:line="115" w:lineRule="exact"/>
        <w:rPr>
          <w:sz w:val="20"/>
          <w:szCs w:val="20"/>
          <w:color w:val="auto"/>
        </w:rPr>
      </w:pPr>
    </w:p>
    <w:p>
      <w:pPr>
        <w:ind w:left="140" w:firstLine="438"/>
        <w:spacing w:after="0" w:line="287" w:lineRule="auto"/>
        <w:rPr>
          <w:sz w:val="20"/>
          <w:szCs w:val="20"/>
          <w:color w:val="auto"/>
        </w:rPr>
      </w:pPr>
      <w:r>
        <w:rPr>
          <w:rFonts w:ascii="Arial" w:cs="Arial" w:eastAsia="Arial" w:hAnsi="Arial"/>
          <w:sz w:val="16"/>
          <w:szCs w:val="16"/>
          <w:color w:val="auto"/>
        </w:rPr>
        <w:t>On April 1, 2022, the Company entered into an assumption agreement (the “CF Assumption Agreement”), effective as of the closing of the Mergers. The CF Assumption Agreement relates to the Company’s assumption of the Revolving Credit Facility, originally entered into on August 26, 2011 (as amended from time to time, the “SUNS Credit Facility”), by and among SUNS SPV LLC (the “SUNS SPV”), a wholly-owned subsidiary of SUNS (as defined below), acting as borrower, Citibank, N.A., acting as administrative agent and collateral agent, and the other parties thereto. Currently, the commitment under the SUNS Credit Facility is $225,000; however, the commitment can also be expanded up to $600,000. The stated interest rate on the SUNS Credit Facility is LIBOR plus 2.00%-2.50% with no LIBOR floor requirement and the current final maturity date is June 1, 2026. The SUNS Credit Facility is secured by all of the assets held by SUNS SPV. Under the terms of the SUNS Credit Facility and related transaction documents, the Company as successor to SUNS, and SUNS SPV, as applicable, have made certain customary representations and warranties, and are required to comply with various covenants, including leverage restrictions, reporting requirements and other customary requirements for similar credit facilities. The SUNS Credit Facility also includes usual and customary events of default for credit facilities of this nature.</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Assumption of SUNS Notes</w:t>
      </w:r>
    </w:p>
    <w:p>
      <w:pPr>
        <w:spacing w:after="0" w:line="115" w:lineRule="exact"/>
        <w:rPr>
          <w:sz w:val="20"/>
          <w:szCs w:val="20"/>
          <w:color w:val="auto"/>
        </w:rPr>
      </w:pPr>
    </w:p>
    <w:p>
      <w:pPr>
        <w:ind w:left="140" w:right="60" w:firstLine="438"/>
        <w:spacing w:after="0" w:line="290" w:lineRule="auto"/>
        <w:rPr>
          <w:sz w:val="20"/>
          <w:szCs w:val="20"/>
          <w:color w:val="auto"/>
        </w:rPr>
      </w:pPr>
      <w:r>
        <w:rPr>
          <w:rFonts w:ascii="Arial" w:cs="Arial" w:eastAsia="Arial" w:hAnsi="Arial"/>
          <w:sz w:val="16"/>
          <w:szCs w:val="16"/>
          <w:color w:val="auto"/>
        </w:rPr>
        <w:t>On April 1, 2022, the Company entered into an assumption agreement (the “Note Assumption Agreement”), effective as of the closing of the Mergers. The Note Assumption Agreement relates to the Company’s assumption of $85,000 in aggregate principal amount of five-year, 3.90% senior unsecured notes, due March 31, 2025 (the “SUNS Notes”) and other obligations of SUNS under the Note Purchase Agreement, dated as of March 31, 2020 (the “Note Purchase Agreement”), among SUNS and certain institutional investors. Interest on the SUNS Notes is due semi-annually on March 31 and September 30. Pursuant to the Note Assumption Agreement, the Company expressly assumed on behalf of SUNS the due and punctual payment of the principal of (and premium, if any) and interest on all the SUNS Notes outstanding, and the due and punctual performance and observance of every covenant and every condition of the Note Purchase Agreement, to be performed or observed by SUNS.</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Dismissal of Merger Complaints</w:t>
      </w:r>
    </w:p>
    <w:p>
      <w:pPr>
        <w:spacing w:after="0" w:line="115" w:lineRule="exact"/>
        <w:rPr>
          <w:sz w:val="20"/>
          <w:szCs w:val="20"/>
          <w:color w:val="auto"/>
        </w:rPr>
      </w:pPr>
    </w:p>
    <w:p>
      <w:pPr>
        <w:ind w:left="140" w:right="360" w:firstLine="438"/>
        <w:spacing w:after="0" w:line="275" w:lineRule="auto"/>
        <w:rPr>
          <w:sz w:val="20"/>
          <w:szCs w:val="20"/>
          <w:color w:val="auto"/>
        </w:rPr>
      </w:pPr>
      <w:r>
        <w:rPr>
          <w:rFonts w:ascii="Arial" w:cs="Arial" w:eastAsia="Arial" w:hAnsi="Arial"/>
          <w:sz w:val="18"/>
          <w:szCs w:val="18"/>
          <w:color w:val="auto"/>
        </w:rPr>
        <w:t>On April 1, 2022, each of the Neal Complaint and the Tobin Complaint was dismissed as to the named plaintiffs only with the Court retaining jurisdiction in connection with a possible future fee and expense application by plaintiffs.</w:t>
      </w:r>
    </w:p>
    <w:p>
      <w:pPr>
        <w:spacing w:after="0" w:line="171" w:lineRule="exact"/>
        <w:rPr>
          <w:sz w:val="20"/>
          <w:szCs w:val="20"/>
          <w:color w:val="auto"/>
        </w:rPr>
      </w:pPr>
    </w:p>
    <w:p>
      <w:pPr>
        <w:ind w:left="140" w:right="620" w:firstLine="438"/>
        <w:spacing w:after="0" w:line="275" w:lineRule="auto"/>
        <w:rPr>
          <w:sz w:val="20"/>
          <w:szCs w:val="20"/>
          <w:color w:val="auto"/>
        </w:rPr>
      </w:pPr>
      <w:r>
        <w:rPr>
          <w:rFonts w:ascii="Arial" w:cs="Arial" w:eastAsia="Arial" w:hAnsi="Arial"/>
          <w:sz w:val="18"/>
          <w:szCs w:val="18"/>
          <w:color w:val="auto"/>
        </w:rPr>
        <w:t>On April 6, 2022, each of the Schumacher Complaint, the Kershner Complaint, the Sharp Complaint, the Ciccotelli Complaint and Justice Complaint was voluntarily dismissed.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April 14, 2022, the Gates Complaint was voluntarily dismissed.</w:t>
      </w:r>
    </w:p>
    <w:p>
      <w:pPr>
        <w:spacing w:after="0" w:line="33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Distribution Declaration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April 4, 2022, our Board declared a monthly distribution of $0.136667 per share payable on May 3, 2022 to holders of record as of April 21,</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May 3, 2022, our Board declared a monthly distribution of $0.136667 per share payable on June 2, 2022 to holders of record as of May 19,</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Stock Repurchase Program</w:t>
      </w:r>
    </w:p>
    <w:p>
      <w:pPr>
        <w:spacing w:after="0" w:line="115" w:lineRule="exact"/>
        <w:rPr>
          <w:sz w:val="20"/>
          <w:szCs w:val="20"/>
          <w:color w:val="auto"/>
        </w:rPr>
      </w:pPr>
    </w:p>
    <w:p>
      <w:pPr>
        <w:ind w:left="140" w:right="140" w:firstLine="438"/>
        <w:spacing w:after="0" w:line="270" w:lineRule="auto"/>
        <w:rPr>
          <w:sz w:val="20"/>
          <w:szCs w:val="20"/>
          <w:color w:val="auto"/>
        </w:rPr>
      </w:pPr>
      <w:r>
        <w:rPr>
          <w:rFonts w:ascii="Arial" w:cs="Arial" w:eastAsia="Arial" w:hAnsi="Arial"/>
          <w:sz w:val="17"/>
          <w:szCs w:val="17"/>
          <w:color w:val="auto"/>
        </w:rPr>
        <w:t>On May 3, 2022, our Board authorized a program for the purpose of repurchasing up to $50,000 of our outstanding shares of common stock. Under the repurchase program, we may, but are not obligated to, repurchase shares of our outstanding common stock in the open market from time to time provided that we comply with our code of ethics and the guidelines specified in Rule 10b-18 of the Exchange Act, including certain price, market volume and timing constraints. In addition, any repurchases will be conducted in accordance with the 1940 Act. Unless amended or extended by our Board, we expect the repurchase program to be in place until the earlier of May 1, 2023 or until $50,000 of our outstanding shares of common stock have been repurchased. The timing and number of shares to be repurchased will depend on a number of factors, including market conditions. There are no assurances that we will engage in any repurchases.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8"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SLR Investment Corp.:</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15" w:lineRule="exact"/>
        <w:rPr>
          <w:sz w:val="20"/>
          <w:szCs w:val="20"/>
          <w:color w:val="auto"/>
        </w:rPr>
      </w:pPr>
    </w:p>
    <w:p>
      <w:pPr>
        <w:ind w:left="140" w:right="100"/>
        <w:spacing w:after="0" w:line="255" w:lineRule="auto"/>
        <w:rPr>
          <w:sz w:val="20"/>
          <w:szCs w:val="20"/>
          <w:color w:val="auto"/>
        </w:rPr>
      </w:pPr>
      <w:r>
        <w:rPr>
          <w:rFonts w:ascii="Arial" w:cs="Arial" w:eastAsia="Arial" w:hAnsi="Arial"/>
          <w:sz w:val="18"/>
          <w:szCs w:val="18"/>
          <w:color w:val="auto"/>
        </w:rPr>
        <w:t>We have reviewed the consolidated statement of assets and liabilities of SLR Investment Corp. (and subsidiaries) (the Company), including the consolidated schedule of investments, as of March 31, 2022, the related consolidated statements of operations, changes in net assets, and cash flows for the three-month periods ended March 31, 2022 and 2021,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90" w:lineRule="exact"/>
        <w:rPr>
          <w:sz w:val="20"/>
          <w:szCs w:val="20"/>
          <w:color w:val="auto"/>
        </w:rPr>
      </w:pPr>
    </w:p>
    <w:p>
      <w:pPr>
        <w:ind w:left="140" w:right="20"/>
        <w:spacing w:after="0" w:line="253"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statement of assets and liabilities, including the consolidated schedule of investments, of the Company as of December 31, 2021, and the related consolidated statements of operations, changes in net assets, and cash flows for the year then ended (not presented herein); and in our report dated March 1, 2022, we expressed an unqualified opinion on those consolidated financial statements. In our opinion, the information set forth in the accompanying consolidated statement of assets and liabilities, including the consolidated schedule of investments, as of December 31, 2021, is fairly stated, in all material respects, in relation to the consolidated statement of assets and liabilities, including the consolidated schedule of investments, from which it has been derived.</w:t>
      </w:r>
    </w:p>
    <w:p>
      <w:pPr>
        <w:spacing w:after="0" w:line="30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Basis for Review Results</w:t>
      </w:r>
    </w:p>
    <w:p>
      <w:pPr>
        <w:spacing w:after="0" w:line="115" w:lineRule="exact"/>
        <w:rPr>
          <w:sz w:val="20"/>
          <w:szCs w:val="20"/>
          <w:color w:val="auto"/>
        </w:rPr>
      </w:pPr>
    </w:p>
    <w:p>
      <w:pPr>
        <w:jc w:val="both"/>
        <w:ind w:left="140"/>
        <w:spacing w:after="0" w:line="262"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left="140" w:right="100"/>
        <w:spacing w:after="0" w:line="258"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 KPMG LLP</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May 3, 2022</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8"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140" w:right="160" w:firstLine="438"/>
        <w:spacing w:after="0" w:line="275"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consolidated financial statements and notes thereto appearing elsewhere in this report.</w:t>
      </w:r>
    </w:p>
    <w:p>
      <w:pPr>
        <w:spacing w:after="0" w:line="171" w:lineRule="exact"/>
        <w:rPr>
          <w:sz w:val="20"/>
          <w:szCs w:val="20"/>
          <w:color w:val="auto"/>
        </w:rPr>
      </w:pPr>
    </w:p>
    <w:p>
      <w:pPr>
        <w:ind w:left="140" w:right="160" w:firstLine="438"/>
        <w:spacing w:after="0" w:line="305" w:lineRule="auto"/>
        <w:rPr>
          <w:sz w:val="20"/>
          <w:szCs w:val="20"/>
          <w:color w:val="auto"/>
        </w:rPr>
      </w:pPr>
      <w:r>
        <w:rPr>
          <w:rFonts w:ascii="Arial" w:cs="Arial" w:eastAsia="Arial" w:hAnsi="Arial"/>
          <w:sz w:val="17"/>
          <w:szCs w:val="17"/>
          <w:color w:val="auto"/>
        </w:rPr>
        <w:t>Some of the statements in this report constitute forward-looking statements, which relate to future events or our future performance or financial condition. The forward-looking statements contained herein involve risks and uncertainties, including statements as to:</w:t>
      </w:r>
    </w:p>
    <w:p>
      <w:pPr>
        <w:spacing w:after="0" w:line="54" w:lineRule="exact"/>
        <w:rPr>
          <w:sz w:val="20"/>
          <w:szCs w:val="20"/>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current COVID-19 pandemic;</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28" w:lineRule="exact"/>
        <w:rPr>
          <w:rFonts w:ascii="Arial" w:cs="Arial" w:eastAsia="Arial" w:hAnsi="Arial"/>
          <w:sz w:val="18"/>
          <w:szCs w:val="18"/>
          <w:color w:val="auto"/>
        </w:rPr>
      </w:pPr>
    </w:p>
    <w:p>
      <w:pPr>
        <w:ind w:left="1560" w:right="10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 and the impact of the COVID-19 pandemic thereon;</w:t>
      </w:r>
    </w:p>
    <w:p>
      <w:pPr>
        <w:spacing w:after="0" w:line="76" w:lineRule="exact"/>
        <w:rPr>
          <w:rFonts w:ascii="Arial" w:cs="Arial" w:eastAsia="Arial" w:hAnsi="Arial"/>
          <w:sz w:val="18"/>
          <w:szCs w:val="18"/>
          <w:color w:val="auto"/>
        </w:rPr>
      </w:pPr>
    </w:p>
    <w:p>
      <w:pPr>
        <w:ind w:left="1560" w:right="22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any protracted decline in the liquidity of credit markets on our business and the impact of the COVID-19 pandemic thereon;</w:t>
      </w:r>
    </w:p>
    <w:p>
      <w:pPr>
        <w:spacing w:after="0" w:line="76"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ability of our portfolio companies to achieve their objectives, including as a result of the current COVID-19 pandemic;</w:t>
      </w:r>
    </w:p>
    <w:p>
      <w:pPr>
        <w:spacing w:after="0" w:line="140" w:lineRule="exact"/>
        <w:rPr>
          <w:rFonts w:ascii="Arial" w:cs="Arial" w:eastAsia="Arial" w:hAnsi="Arial"/>
          <w:sz w:val="17"/>
          <w:szCs w:val="17"/>
          <w:color w:val="auto"/>
        </w:rPr>
      </w:pPr>
    </w:p>
    <w:p>
      <w:pPr>
        <w:ind w:left="1560" w:right="24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 and the impact of the COVID-19 pandemic thereon;</w:t>
      </w:r>
    </w:p>
    <w:p>
      <w:pPr>
        <w:spacing w:after="0" w:line="76" w:lineRule="exact"/>
        <w:rPr>
          <w:rFonts w:ascii="Arial" w:cs="Arial" w:eastAsia="Arial" w:hAnsi="Arial"/>
          <w:sz w:val="18"/>
          <w:szCs w:val="18"/>
          <w:color w:val="auto"/>
        </w:rPr>
      </w:pPr>
    </w:p>
    <w:p>
      <w:pPr>
        <w:ind w:left="1560" w:right="30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and our ability to access alternative debt markets and additional debt and equity capital, and the impact of the COVID-19 pandemic thereon;</w:t>
      </w:r>
    </w:p>
    <w:p>
      <w:pPr>
        <w:spacing w:after="0" w:line="76"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28" w:lineRule="exact"/>
        <w:rPr>
          <w:rFonts w:ascii="Arial" w:cs="Arial" w:eastAsia="Arial" w:hAnsi="Arial"/>
          <w:sz w:val="18"/>
          <w:szCs w:val="18"/>
          <w:color w:val="auto"/>
        </w:rPr>
      </w:pPr>
    </w:p>
    <w:p>
      <w:pPr>
        <w:ind w:left="1560" w:right="2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COVID-19 pandemic thereon; and</w:t>
      </w:r>
    </w:p>
    <w:p>
      <w:pPr>
        <w:spacing w:after="0" w:line="76" w:lineRule="exact"/>
        <w:rPr>
          <w:rFonts w:ascii="Arial" w:cs="Arial" w:eastAsia="Arial" w:hAnsi="Arial"/>
          <w:sz w:val="18"/>
          <w:szCs w:val="18"/>
          <w:color w:val="auto"/>
        </w:rPr>
      </w:pPr>
    </w:p>
    <w:p>
      <w:pPr>
        <w:ind w:left="1560" w:right="300" w:hanging="330"/>
        <w:spacing w:after="0" w:line="275" w:lineRule="auto"/>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 the impacts of the COVID-19 pandemic thereon.</w:t>
      </w:r>
    </w:p>
    <w:p>
      <w:pPr>
        <w:spacing w:after="0" w:line="76" w:lineRule="exact"/>
        <w:rPr>
          <w:rFonts w:ascii="Arial" w:cs="Arial" w:eastAsia="Arial" w:hAnsi="Arial"/>
          <w:sz w:val="18"/>
          <w:szCs w:val="18"/>
          <w:color w:val="auto"/>
        </w:rPr>
      </w:pPr>
    </w:p>
    <w:p>
      <w:pPr>
        <w:ind w:left="1560" w:hanging="330"/>
        <w:spacing w:after="0"/>
        <w:tabs>
          <w:tab w:leader="none" w:pos="1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political conditions and relations between the United States, Russia, Ukraine and other nations.</w:t>
      </w:r>
    </w:p>
    <w:p>
      <w:pPr>
        <w:spacing w:after="0" w:line="223" w:lineRule="exact"/>
        <w:rPr>
          <w:sz w:val="20"/>
          <w:szCs w:val="20"/>
          <w:color w:val="auto"/>
        </w:rPr>
      </w:pPr>
    </w:p>
    <w:p>
      <w:pPr>
        <w:ind w:left="140" w:firstLine="438"/>
        <w:spacing w:after="0" w:line="262"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8" w:lineRule="exact"/>
        <w:rPr>
          <w:sz w:val="20"/>
          <w:szCs w:val="20"/>
          <w:color w:val="auto"/>
        </w:rPr>
      </w:pPr>
    </w:p>
    <w:p>
      <w:pPr>
        <w:ind w:left="1560" w:right="180" w:hanging="330"/>
        <w:spacing w:after="0" w:line="305" w:lineRule="auto"/>
        <w:tabs>
          <w:tab w:leader="none" w:pos="15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economic downturn, including as a result of the current COVID-19 pandemic, could impair our portfolio companies’ ability to continue to operate, which could lead to the loss of some or all of our investments in such portfolio companies;</w:t>
      </w:r>
    </w:p>
    <w:p>
      <w:pPr>
        <w:spacing w:after="0" w:line="54" w:lineRule="exact"/>
        <w:rPr>
          <w:rFonts w:ascii="Arial" w:cs="Arial" w:eastAsia="Arial" w:hAnsi="Arial"/>
          <w:sz w:val="17"/>
          <w:szCs w:val="17"/>
          <w:color w:val="auto"/>
        </w:rPr>
      </w:pPr>
    </w:p>
    <w:p>
      <w:pPr>
        <w:ind w:left="1560" w:right="400" w:hanging="330"/>
        <w:spacing w:after="0" w:line="275" w:lineRule="auto"/>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including as a result of the current COVID-19 pandemic, could impair our lending and investment activities;</w:t>
      </w:r>
    </w:p>
    <w:p>
      <w:pPr>
        <w:spacing w:after="0" w:line="76" w:lineRule="exact"/>
        <w:rPr>
          <w:rFonts w:ascii="Arial" w:cs="Arial" w:eastAsia="Arial" w:hAnsi="Arial"/>
          <w:sz w:val="18"/>
          <w:szCs w:val="18"/>
          <w:color w:val="auto"/>
        </w:rPr>
      </w:pPr>
    </w:p>
    <w:p>
      <w:pPr>
        <w:ind w:left="1560" w:hanging="330"/>
        <w:spacing w:after="0"/>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interest rate volatility could adversely affect our results, particularly because we use leverage as part of our investment strategy;</w:t>
      </w:r>
    </w:p>
    <w:p>
      <w:pPr>
        <w:spacing w:after="0" w:line="151" w:lineRule="exact"/>
        <w:rPr>
          <w:rFonts w:ascii="Arial" w:cs="Arial" w:eastAsia="Arial" w:hAnsi="Arial"/>
          <w:sz w:val="16"/>
          <w:szCs w:val="16"/>
          <w:color w:val="auto"/>
        </w:rPr>
      </w:pPr>
    </w:p>
    <w:p>
      <w:pPr>
        <w:ind w:left="1560" w:right="200" w:hanging="330"/>
        <w:spacing w:after="0" w:line="275" w:lineRule="auto"/>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76" w:lineRule="exact"/>
        <w:rPr>
          <w:rFonts w:ascii="Arial" w:cs="Arial" w:eastAsia="Arial" w:hAnsi="Arial"/>
          <w:sz w:val="18"/>
          <w:szCs w:val="18"/>
          <w:color w:val="auto"/>
        </w:rPr>
      </w:pPr>
    </w:p>
    <w:p>
      <w:pPr>
        <w:ind w:left="1560" w:hanging="330"/>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the Mergers;</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disruption on our business from the Mergers;</w:t>
      </w:r>
    </w:p>
    <w:p>
      <w:pPr>
        <w:spacing w:after="0" w:line="128" w:lineRule="exact"/>
        <w:rPr>
          <w:rFonts w:ascii="Arial" w:cs="Arial" w:eastAsia="Arial" w:hAnsi="Arial"/>
          <w:sz w:val="18"/>
          <w:szCs w:val="18"/>
          <w:color w:val="auto"/>
        </w:rPr>
      </w:pPr>
    </w:p>
    <w:p>
      <w:pPr>
        <w:ind w:left="1560" w:hanging="330"/>
        <w:spacing w:after="0"/>
        <w:tabs>
          <w:tab w:leader="none" w:pos="1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combined company’s plans, expectations, objectives and intentions as a result of the Mergers;</w:t>
      </w:r>
    </w:p>
    <w:p>
      <w:pPr>
        <w:spacing w:after="0" w:line="128" w:lineRule="exact"/>
        <w:rPr>
          <w:rFonts w:ascii="Arial" w:cs="Arial" w:eastAsia="Arial" w:hAnsi="Arial"/>
          <w:sz w:val="18"/>
          <w:szCs w:val="18"/>
          <w:color w:val="auto"/>
        </w:rPr>
      </w:pPr>
    </w:p>
    <w:p>
      <w:pPr>
        <w:ind w:left="1560" w:right="80" w:hanging="330"/>
        <w:spacing w:after="0" w:line="339" w:lineRule="auto"/>
        <w:tabs>
          <w:tab w:leader="none" w:pos="1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Item 1A. — Risk Factors contained in our Annual Report on Form 10-K for the year ended December 31, 2021, elsewhere in this Quarterly Report on Form 10-Q and in our other filings with the SEC.</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generally use words such as “anticipates,” “believes,” “expects,” “intends” and similar expressions to identify forward-looking statements.</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Our actual results could differ materially from those projected in the forward-looking statements for any reason, including any factors set forth in “Risk</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Factors” and elsewhere in this report.</w:t>
      </w:r>
    </w:p>
    <w:p>
      <w:pPr>
        <w:spacing w:after="0" w:line="208" w:lineRule="exact"/>
        <w:rPr>
          <w:sz w:val="20"/>
          <w:szCs w:val="20"/>
          <w:color w:val="auto"/>
        </w:rPr>
      </w:pPr>
    </w:p>
    <w:p>
      <w:pPr>
        <w:ind w:left="140" w:right="80" w:firstLine="438"/>
        <w:spacing w:after="0" w:line="255"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any annual reports on Form 10-K, quarterly reports on Form 10-Q and current reports on Form 8-K.</w:t>
      </w:r>
    </w:p>
    <w:p>
      <w:pPr>
        <w:sectPr>
          <w:pgSz w:w="11900" w:h="16838" w:orient="portrait"/>
          <w:cols w:equalWidth="0" w:num="1">
            <w:col w:w="11020"/>
          </w:cols>
          <w:pgMar w:left="320" w:top="458" w:right="559" w:bottom="1023" w:gutter="0" w:footer="0" w:header="0"/>
        </w:sectPr>
      </w:pP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20"/>
          </w:cols>
          <w:pgMar w:left="320" w:top="458" w:right="559" w:bottom="1023"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ind w:left="140" w:firstLine="438"/>
        <w:spacing w:after="0" w:line="275" w:lineRule="auto"/>
        <w:rPr>
          <w:sz w:val="20"/>
          <w:szCs w:val="20"/>
          <w:color w:val="auto"/>
        </w:rPr>
      </w:pPr>
      <w:r>
        <w:rPr>
          <w:rFonts w:ascii="Arial" w:cs="Arial" w:eastAsia="Arial" w:hAnsi="Arial"/>
          <w:sz w:val="18"/>
          <w:szCs w:val="18"/>
          <w:color w:val="auto"/>
        </w:rPr>
        <w:t>Solar Capital LLC, a Maryland limited liability company, was formed in February 2007 and commenced operations on March 13, 2007 with initial capital of $1.2 billion of which 47.04% was funded by affiliated parties.</w:t>
      </w:r>
    </w:p>
    <w:p>
      <w:pPr>
        <w:spacing w:after="0" w:line="171" w:lineRule="exact"/>
        <w:rPr>
          <w:sz w:val="20"/>
          <w:szCs w:val="20"/>
          <w:color w:val="auto"/>
        </w:rPr>
      </w:pPr>
    </w:p>
    <w:p>
      <w:pPr>
        <w:ind w:left="140" w:right="140" w:firstLine="438"/>
        <w:spacing w:after="0" w:line="254" w:lineRule="auto"/>
        <w:rPr>
          <w:sz w:val="20"/>
          <w:szCs w:val="20"/>
          <w:color w:val="auto"/>
        </w:rPr>
      </w:pPr>
      <w:r>
        <w:rPr>
          <w:rFonts w:ascii="Arial" w:cs="Arial" w:eastAsia="Arial" w:hAnsi="Arial"/>
          <w:sz w:val="18"/>
          <w:szCs w:val="18"/>
          <w:color w:val="auto"/>
        </w:rPr>
        <w:t>SLR Investment Corp. (the “Company”, “SLRC”, “we” or “our”), a Maryland corporation formed in November 2007, is a closed-end, externally managed, non-diversified management investment company that has elected to be regulated as a business development company (“BDC”) under the Investment Company Act of 1940, as amended (the “1940 Act”). Furthermore, as the Company is an investment company, it continues to apply the guidance in the Financial Accounting Standards Board (“FASB”) Accounting Standards Codification (“ASC”) Topic 946. In addition, for U.S federal income tax purposes, the Company has elected to be treated as a regulated investment company (“RIC”) under Subchapter M of the Internal Revenue Code of 1986, as amended (the “Code”).</w:t>
      </w:r>
    </w:p>
    <w:p>
      <w:pPr>
        <w:spacing w:after="0" w:line="191" w:lineRule="exact"/>
        <w:rPr>
          <w:sz w:val="20"/>
          <w:szCs w:val="20"/>
          <w:color w:val="auto"/>
        </w:rPr>
      </w:pPr>
    </w:p>
    <w:p>
      <w:pPr>
        <w:jc w:val="both"/>
        <w:ind w:left="140" w:right="280" w:firstLine="438"/>
        <w:spacing w:after="0" w:line="258" w:lineRule="auto"/>
        <w:rPr>
          <w:sz w:val="20"/>
          <w:szCs w:val="20"/>
          <w:color w:val="auto"/>
        </w:rPr>
      </w:pPr>
      <w:r>
        <w:rPr>
          <w:rFonts w:ascii="Arial" w:cs="Arial" w:eastAsia="Arial" w:hAnsi="Arial"/>
          <w:sz w:val="18"/>
          <w:szCs w:val="18"/>
          <w:color w:val="auto"/>
        </w:rPr>
        <w:t>On February 9, 2010, we priced our initial public offering, selling 5.68 million shares of our common stock. Concurrent with our initial public offering, Michael S. Gross, our Chairman, Co-Chief Executive Officer and President, and Bruce Spohler, our Co-Chief Executive Officer and Chief Operating Officer, collectively purchased an additional 0.6 million shares of our common stock through a private placement transaction exempt from registration under the Securities Act.</w:t>
      </w:r>
    </w:p>
    <w:p>
      <w:pPr>
        <w:spacing w:after="0" w:line="185" w:lineRule="exact"/>
        <w:rPr>
          <w:sz w:val="20"/>
          <w:szCs w:val="20"/>
          <w:color w:val="auto"/>
        </w:rPr>
      </w:pPr>
    </w:p>
    <w:p>
      <w:pPr>
        <w:ind w:left="140" w:right="40" w:firstLine="438"/>
        <w:spacing w:after="0" w:line="269" w:lineRule="auto"/>
        <w:rPr>
          <w:sz w:val="20"/>
          <w:szCs w:val="20"/>
          <w:color w:val="auto"/>
        </w:rPr>
      </w:pPr>
      <w:r>
        <w:rPr>
          <w:rFonts w:ascii="Arial" w:cs="Arial" w:eastAsia="Arial" w:hAnsi="Arial"/>
          <w:sz w:val="17"/>
          <w:szCs w:val="17"/>
          <w:color w:val="auto"/>
        </w:rPr>
        <w:t>We invest primarily in privately held U.S. middle-market companies, where we believe the supply of primary capital is limited and the investment opportunities are most attractive. Our investment objective is to generate both current income and capital appreciation through debt and equity investments. We invest primarily in leveraged middle-market companies in the form of senior secured loans, financing leases and to a lesser extent, unsecured loans and equity securities. From time to time, we may also invest in public companies that are thinly traded. Our business is focused primarily on the direct origination of investments through portfolio companies or their financial sponsors. Our investments generally range between $5 million and $100 million each, although we expect that this investment size will vary proportionately with the size of our capital base and/or with strategic initiatives. Our investment activities are managed by SLR Capital Partners, LLC (the “Investment Adviser”) and supervised by the board of directors (the “Board)”, a majority of whom are non-interested, as such term is defined in the 1940 Act. SLR Capital Management, LLC (the “Administrator”) provides the administrative services necessary for us to operate.</w:t>
      </w:r>
    </w:p>
    <w:p>
      <w:pPr>
        <w:spacing w:after="0" w:line="178" w:lineRule="exact"/>
        <w:rPr>
          <w:sz w:val="20"/>
          <w:szCs w:val="20"/>
          <w:color w:val="auto"/>
        </w:rPr>
      </w:pPr>
    </w:p>
    <w:p>
      <w:pPr>
        <w:ind w:left="140" w:right="160" w:firstLine="438"/>
        <w:spacing w:after="0" w:line="310" w:lineRule="auto"/>
        <w:rPr>
          <w:sz w:val="20"/>
          <w:szCs w:val="20"/>
          <w:color w:val="auto"/>
        </w:rPr>
      </w:pPr>
      <w:r>
        <w:rPr>
          <w:rFonts w:ascii="Arial" w:cs="Arial" w:eastAsia="Arial" w:hAnsi="Arial"/>
          <w:sz w:val="16"/>
          <w:szCs w:val="16"/>
          <w:color w:val="auto"/>
        </w:rPr>
        <w:t>In addition, we may invest a portion of our portfolio in other types of investments, which we refer to as opportunistic investments, which are not our primary focus but are intended to enhance our overall returns. These investments may include, but are not limited to, direct investments in public companies that are not thinly traded and securities of leveraged companies located in select countries outside of the United States.</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Merger Agreement</w:t>
      </w:r>
    </w:p>
    <w:p>
      <w:pPr>
        <w:spacing w:after="0" w:line="119" w:lineRule="exact"/>
        <w:rPr>
          <w:sz w:val="20"/>
          <w:szCs w:val="20"/>
          <w:color w:val="auto"/>
        </w:rPr>
      </w:pPr>
    </w:p>
    <w:p>
      <w:pPr>
        <w:ind w:left="140" w:right="20" w:firstLine="438"/>
        <w:spacing w:after="0" w:line="253" w:lineRule="auto"/>
        <w:rPr>
          <w:sz w:val="20"/>
          <w:szCs w:val="20"/>
          <w:color w:val="auto"/>
        </w:rPr>
      </w:pPr>
      <w:r>
        <w:rPr>
          <w:rFonts w:ascii="Arial" w:cs="Arial" w:eastAsia="Arial" w:hAnsi="Arial"/>
          <w:sz w:val="18"/>
          <w:szCs w:val="18"/>
          <w:color w:val="auto"/>
        </w:rPr>
        <w:t>On December 1, 2021, we entered into an Agreement and Plan of Merger, or the Merger Agreement, with SLR Senior Investment Corp., a Maryland corporation (“SUNS”), Solstice Merger Sub, Inc., a Maryland corporation and our wholly-owned subsidiary (“Merger Sub”), and, solely for the limited purposes set forth therein, the Investment Adviser. The Merger Agreement provides that, subject to the conditions set forth in the Merger Agreement, Merger Sub will merge with and into SUNS, with SUNS continuing as the surviving company and as SUNS’s wholly-owned subsidiary (the “Merger,”) and, immediately thereafter, SUNS will merge with and into us, with us continuing as the surviving company (together with the Merger, the “Mergers”). Both the Board and SUNS’s board of directors, including all of the respective independent directors, in each case, on the recommendation of a special committee comprised solely of the independent directors of us and SUNS, as applicable, have approved the Merger Agreement and the transactions contemplated thereby.</w:t>
      </w:r>
    </w:p>
    <w:p>
      <w:pPr>
        <w:spacing w:after="0" w:line="189" w:lineRule="exact"/>
        <w:rPr>
          <w:sz w:val="20"/>
          <w:szCs w:val="20"/>
          <w:color w:val="auto"/>
        </w:rPr>
      </w:pPr>
    </w:p>
    <w:p>
      <w:pPr>
        <w:ind w:left="140" w:right="480" w:firstLine="438"/>
        <w:spacing w:after="0" w:line="262" w:lineRule="auto"/>
        <w:rPr>
          <w:sz w:val="20"/>
          <w:szCs w:val="20"/>
          <w:color w:val="auto"/>
        </w:rPr>
      </w:pPr>
      <w:r>
        <w:rPr>
          <w:rFonts w:ascii="Arial" w:cs="Arial" w:eastAsia="Arial" w:hAnsi="Arial"/>
          <w:sz w:val="18"/>
          <w:szCs w:val="18"/>
          <w:color w:val="auto"/>
        </w:rPr>
        <w:t>The Merger Agreement contains customary representations and warranties by each of us, SUNS and the Investment Adviser. The Merger Agreement also contains customary covenants, including, among others, covenants relating to the operation of each of our and SUNS’s businesses during the period prior to the closing of the Mergers.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Consummation of the Mergers, which occurred on April 1, 2022, was subject to certain closing conditions as disclosed in the Merger Agreement.</w:t>
      </w: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Recent Developments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Mergers</w:t>
      </w:r>
    </w:p>
    <w:p>
      <w:pPr>
        <w:spacing w:after="0" w:line="115" w:lineRule="exact"/>
        <w:rPr>
          <w:sz w:val="20"/>
          <w:szCs w:val="20"/>
          <w:color w:val="auto"/>
        </w:rPr>
      </w:pPr>
    </w:p>
    <w:p>
      <w:pPr>
        <w:ind w:left="140" w:right="20" w:firstLine="438"/>
        <w:spacing w:after="0" w:line="254" w:lineRule="auto"/>
        <w:rPr>
          <w:sz w:val="20"/>
          <w:szCs w:val="20"/>
          <w:color w:val="auto"/>
        </w:rPr>
      </w:pPr>
      <w:r>
        <w:rPr>
          <w:rFonts w:ascii="Arial" w:cs="Arial" w:eastAsia="Arial" w:hAnsi="Arial"/>
          <w:sz w:val="18"/>
          <w:szCs w:val="18"/>
          <w:color w:val="auto"/>
        </w:rPr>
        <w:t>On April 1, 2022, we completed our previously announced acquisition of SUNS. Pursuant to the Merger Agreement, Merger Sub was first merged with and into SUNS, with SUNS as the surviving corporation, and, immediately following the Merger, SUNS was then merged with and into us, with us as the surviving company. In accordance with the terms of the Merger Agreement, at the effective time of the Merger, each outstanding share of SUNS’s common stock was converted into the right to receive 0.7796 shares of our common stock (with SUNS’s stockholders receiving cash in lieu of fractional shares of our common stock). As a result of the Mergers, we issued an aggregate of 12,511,825 shares of our common stock to former SUNS stockholders.</w:t>
      </w:r>
    </w:p>
    <w:p>
      <w:pPr>
        <w:sectPr>
          <w:pgSz w:w="11900" w:h="16838" w:orient="portrait"/>
          <w:cols w:equalWidth="0" w:num="1">
            <w:col w:w="11100"/>
          </w:cols>
          <w:pgMar w:left="320" w:top="458" w:right="479" w:bottom="1440" w:gutter="0" w:footer="0" w:header="0"/>
        </w:sectPr>
      </w:pP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00"/>
          </w:cols>
          <w:pgMar w:left="320" w:top="458" w:right="4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firstLine="438"/>
        <w:spacing w:after="0" w:line="290" w:lineRule="auto"/>
        <w:rPr>
          <w:sz w:val="20"/>
          <w:szCs w:val="20"/>
          <w:color w:val="auto"/>
        </w:rPr>
      </w:pPr>
      <w:r>
        <w:rPr>
          <w:rFonts w:ascii="Arial" w:cs="Arial" w:eastAsia="Arial" w:hAnsi="Arial"/>
          <w:sz w:val="16"/>
          <w:szCs w:val="16"/>
          <w:color w:val="auto"/>
        </w:rPr>
        <w:t>The Merger will be accounted for as an asset acquisition of SLR Senior Investment Corp. by the Company in accordance with the asset acquisition method of accounting as detailed in ASC 805-50, Business Combinations – Related Issues, with the fair value of total consideration paid in conjunction with the Merger allocated to the assets acquired and liabilities assumed based on their relative fair values as of the date of the Merger. Generally, under asset acquisition accounting, acquiring assets in groups not only requires ascertaining the cost of the asset (or net assets), but also allocating that cost to the individual assets (or individual assets and liabilities) that make up the group. The cost of the group of assets acquired in an asset acquisition is allocated to the individual assets acquired or liabilities assumed based on their relative fair values of net identifiable assets acquired other than certain “non-qualifying” assets (for example cash) and does not give rise to goodwill. The Company will be the accounting survivor of the Merger.</w:t>
      </w:r>
    </w:p>
    <w:p>
      <w:pPr>
        <w:spacing w:after="0" w:line="2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Letter Agreement</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April 1, 2022, in connection with the consummation of the Mergers, we entered into a letter agreement (the “Letter Agreement”) pursuant to</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which the Investment Adviser voluntarily agreed to a permanent 25 basis point reduction of the annual base management fee rate payable by us to the</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 Adviser pursuant to the Advisory Agreement, resulting in an annual base management fee rate payable by us to the Investment Adviser of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1.50% on gross assets up to 200% of our total net assets. We retained the annual base management fee rate payable by us to the Investment Adviser of</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1.00% on gross assets that exceed 200% of our total net assets.</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Assumption of SUNS Credit Facility</w:t>
      </w:r>
    </w:p>
    <w:p>
      <w:pPr>
        <w:spacing w:after="0" w:line="115" w:lineRule="exact"/>
        <w:rPr>
          <w:sz w:val="20"/>
          <w:szCs w:val="20"/>
          <w:color w:val="auto"/>
        </w:rPr>
      </w:pPr>
    </w:p>
    <w:p>
      <w:pPr>
        <w:ind w:left="140" w:right="20" w:firstLine="438"/>
        <w:spacing w:after="0" w:line="287" w:lineRule="auto"/>
        <w:rPr>
          <w:sz w:val="20"/>
          <w:szCs w:val="20"/>
          <w:color w:val="auto"/>
        </w:rPr>
      </w:pPr>
      <w:r>
        <w:rPr>
          <w:rFonts w:ascii="Arial" w:cs="Arial" w:eastAsia="Arial" w:hAnsi="Arial"/>
          <w:sz w:val="16"/>
          <w:szCs w:val="16"/>
          <w:color w:val="auto"/>
        </w:rPr>
        <w:t>On April 1, 2022, we entered into an assumption agreement (the “CF Assumption Agreement”), effective as of the closing of the Mergers. The CF Assumption Agreement relates to our assumption of the Revolving Credit Facility, originally entered into on August 26, 2011 (as amended from time to time, the “SUNS Credit Facility”), by and among SUNS SPV LLC (the “SUNS SPV”), a wholly-owned subsidiary of SUNS (as defined below), acting as borrower, Citibank, N.A., acting as administrative agent and collateral agent, and the other parties thereto. Currently, the commitment under the SUNS Credit Facility is $225 million; however, the commitment can also be expanded up to $600 million. The stated interest rate on the SUNS Credit Facility is LIBOR plus 2.00%-2.50% with no LIBOR floor requirement and the current final maturity date is June 1, 2026. The SUNS Credit Facility is secured by all of the assets held by SUNS SPV. Under the terms of the SUNS Credit Facility and related transaction documents, we as successor to SUNS, and SUNS SPV, as applicable, have made certain customary representations and warranties, and are required to comply with various covenants, including leverage restrictions, reporting requirements and other customary requirements for similar credit facilities. The SUNS Credit Facility also includes usual and customary events of default for credit facilities of this nature.</w:t>
      </w:r>
    </w:p>
    <w:p>
      <w:pPr>
        <w:spacing w:after="0" w:line="2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Assumption of SUNS Notes</w:t>
      </w:r>
    </w:p>
    <w:p>
      <w:pPr>
        <w:spacing w:after="0" w:line="115" w:lineRule="exact"/>
        <w:rPr>
          <w:sz w:val="20"/>
          <w:szCs w:val="20"/>
          <w:color w:val="auto"/>
        </w:rPr>
      </w:pPr>
    </w:p>
    <w:p>
      <w:pPr>
        <w:ind w:left="140" w:right="140" w:firstLine="438"/>
        <w:spacing w:after="0" w:line="285" w:lineRule="auto"/>
        <w:rPr>
          <w:sz w:val="20"/>
          <w:szCs w:val="20"/>
          <w:color w:val="auto"/>
        </w:rPr>
      </w:pPr>
      <w:r>
        <w:rPr>
          <w:rFonts w:ascii="Arial" w:cs="Arial" w:eastAsia="Arial" w:hAnsi="Arial"/>
          <w:sz w:val="16"/>
          <w:szCs w:val="16"/>
          <w:color w:val="auto"/>
        </w:rPr>
        <w:t>On April 1, 2022, we entered into an assumption agreement (the “Note Assumption Agreement”), effective as of the closing of the Mergers. The Note Assumption Agreement relates to our assumption of $85 million in aggregate principal amount of five-year, 3.90% senior unsecured notes, due March 31, 2025 (the “SUNS Notes”) and other obligations of SUNS under the Note Purchase Agreement, dated as of March 31, 2020 (the “Note Purchase Agreement”), among SUNS and certain institutional investors. Interest on the SUNS Notes is due semi-annually on March 31 and September</w:t>
      </w:r>
    </w:p>
    <w:p>
      <w:pPr>
        <w:spacing w:after="0" w:line="1" w:lineRule="exact"/>
        <w:rPr>
          <w:sz w:val="20"/>
          <w:szCs w:val="20"/>
          <w:color w:val="auto"/>
        </w:rPr>
      </w:pPr>
    </w:p>
    <w:p>
      <w:pPr>
        <w:ind w:left="140" w:right="260" w:firstLine="2"/>
        <w:spacing w:after="0" w:line="253" w:lineRule="auto"/>
        <w:tabs>
          <w:tab w:leader="none" w:pos="4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the Note Assumption Agreement, we expressly assumed on behalf of SUNS the due and punctual payment of the principal of (and premium, if any) and interest on all the SUNS Notes outstanding, and the due and punctual performance and observance of every covenant and every condition of the Note Purchase Agreement, to be performed or observed by SUNS.</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Dismissal of Merger Complaints</w:t>
      </w:r>
    </w:p>
    <w:p>
      <w:pPr>
        <w:spacing w:after="0" w:line="115" w:lineRule="exact"/>
        <w:rPr>
          <w:sz w:val="20"/>
          <w:szCs w:val="20"/>
          <w:color w:val="auto"/>
        </w:rPr>
      </w:pPr>
    </w:p>
    <w:p>
      <w:pPr>
        <w:jc w:val="both"/>
        <w:ind w:left="140" w:right="140" w:firstLine="438"/>
        <w:spacing w:after="0" w:line="262" w:lineRule="auto"/>
        <w:rPr>
          <w:sz w:val="20"/>
          <w:szCs w:val="20"/>
          <w:color w:val="auto"/>
        </w:rPr>
      </w:pPr>
      <w:r>
        <w:rPr>
          <w:rFonts w:ascii="Arial" w:cs="Arial" w:eastAsia="Arial" w:hAnsi="Arial"/>
          <w:sz w:val="18"/>
          <w:szCs w:val="18"/>
          <w:color w:val="auto"/>
        </w:rPr>
        <w:t xml:space="preserve">On April 1, 2022, each of the Neal Complaint (as defined in </w:t>
      </w:r>
      <w:r>
        <w:rPr>
          <w:rFonts w:ascii="Arial" w:cs="Arial" w:eastAsia="Arial" w:hAnsi="Arial"/>
          <w:sz w:val="18"/>
          <w:szCs w:val="18"/>
          <w:i w:val="1"/>
          <w:iCs w:val="1"/>
          <w:color w:val="auto"/>
        </w:rPr>
        <w:t>Part II, Item 1 – Legal Proceedings</w:t>
      </w:r>
      <w:r>
        <w:rPr>
          <w:rFonts w:ascii="Arial" w:cs="Arial" w:eastAsia="Arial" w:hAnsi="Arial"/>
          <w:sz w:val="18"/>
          <w:szCs w:val="18"/>
          <w:color w:val="auto"/>
        </w:rPr>
        <w:t xml:space="preserve">) and the Tobin Complaint (as defined in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Item 1 – Legal Proceedings</w:t>
      </w:r>
      <w:r>
        <w:rPr>
          <w:rFonts w:ascii="Arial" w:cs="Arial" w:eastAsia="Arial" w:hAnsi="Arial"/>
          <w:sz w:val="18"/>
          <w:szCs w:val="18"/>
          <w:color w:val="auto"/>
        </w:rPr>
        <w:t>) was dismissed as to the named plaintiffs only with the Court retaining jurisdiction in connection with a possible future fee</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 application by plaintiffs.</w:t>
      </w:r>
    </w:p>
    <w:p>
      <w:pPr>
        <w:spacing w:after="0" w:line="182" w:lineRule="exact"/>
        <w:rPr>
          <w:sz w:val="20"/>
          <w:szCs w:val="20"/>
          <w:color w:val="auto"/>
        </w:rPr>
      </w:pPr>
    </w:p>
    <w:p>
      <w:pPr>
        <w:jc w:val="both"/>
        <w:ind w:left="140" w:right="200" w:firstLine="438"/>
        <w:spacing w:after="0" w:line="310" w:lineRule="auto"/>
        <w:rPr>
          <w:sz w:val="20"/>
          <w:szCs w:val="20"/>
          <w:color w:val="auto"/>
        </w:rPr>
      </w:pPr>
      <w:r>
        <w:rPr>
          <w:rFonts w:ascii="Arial" w:cs="Arial" w:eastAsia="Arial" w:hAnsi="Arial"/>
          <w:sz w:val="16"/>
          <w:szCs w:val="16"/>
          <w:color w:val="auto"/>
        </w:rPr>
        <w:t xml:space="preserve">On April 6, 2022, each of the Schumacher Complaint (as defined in </w:t>
      </w:r>
      <w:r>
        <w:rPr>
          <w:rFonts w:ascii="Arial" w:cs="Arial" w:eastAsia="Arial" w:hAnsi="Arial"/>
          <w:sz w:val="16"/>
          <w:szCs w:val="16"/>
          <w:i w:val="1"/>
          <w:iCs w:val="1"/>
          <w:color w:val="auto"/>
        </w:rPr>
        <w:t>Part II, Item 1 – Legal Proceedings</w:t>
      </w:r>
      <w:r>
        <w:rPr>
          <w:rFonts w:ascii="Arial" w:cs="Arial" w:eastAsia="Arial" w:hAnsi="Arial"/>
          <w:sz w:val="16"/>
          <w:szCs w:val="16"/>
          <w:color w:val="auto"/>
        </w:rPr>
        <w:t xml:space="preserve">), the Kershner Complaint (as defined in </w:t>
      </w:r>
      <w:r>
        <w:rPr>
          <w:rFonts w:ascii="Arial" w:cs="Arial" w:eastAsia="Arial" w:hAnsi="Arial"/>
          <w:sz w:val="16"/>
          <w:szCs w:val="16"/>
          <w:i w:val="1"/>
          <w:iCs w:val="1"/>
          <w:color w:val="auto"/>
        </w:rPr>
        <w:t>Part II, Item 1 – Legal Proceedings</w:t>
      </w:r>
      <w:r>
        <w:rPr>
          <w:rFonts w:ascii="Arial" w:cs="Arial" w:eastAsia="Arial" w:hAnsi="Arial"/>
          <w:sz w:val="16"/>
          <w:szCs w:val="16"/>
          <w:color w:val="auto"/>
        </w:rPr>
        <w:t>), the Sharp Complaint (as defined in</w:t>
      </w:r>
      <w:r>
        <w:rPr>
          <w:rFonts w:ascii="Arial" w:cs="Arial" w:eastAsia="Arial" w:hAnsi="Arial"/>
          <w:sz w:val="16"/>
          <w:szCs w:val="16"/>
          <w:i w:val="1"/>
          <w:iCs w:val="1"/>
          <w:color w:val="auto"/>
        </w:rPr>
        <w:t xml:space="preserve"> Part II, Item 1 – Legal Proceedings</w:t>
      </w:r>
      <w:r>
        <w:rPr>
          <w:rFonts w:ascii="Arial" w:cs="Arial" w:eastAsia="Arial" w:hAnsi="Arial"/>
          <w:sz w:val="16"/>
          <w:szCs w:val="16"/>
          <w:color w:val="auto"/>
        </w:rPr>
        <w:t>), the Ciccotelli Complaint (as defined in</w:t>
      </w:r>
      <w:r>
        <w:rPr>
          <w:rFonts w:ascii="Arial" w:cs="Arial" w:eastAsia="Arial" w:hAnsi="Arial"/>
          <w:sz w:val="16"/>
          <w:szCs w:val="16"/>
          <w:i w:val="1"/>
          <w:iCs w:val="1"/>
          <w:color w:val="auto"/>
        </w:rPr>
        <w:t xml:space="preserve"> Part II, Item 1 – Legal Proceedings</w:t>
      </w:r>
      <w:r>
        <w:rPr>
          <w:rFonts w:ascii="Arial" w:cs="Arial" w:eastAsia="Arial" w:hAnsi="Arial"/>
          <w:sz w:val="16"/>
          <w:szCs w:val="16"/>
          <w:color w:val="auto"/>
        </w:rPr>
        <w:t>) and Justice Complaint (as defined in</w:t>
      </w:r>
      <w:r>
        <w:rPr>
          <w:rFonts w:ascii="Arial" w:cs="Arial" w:eastAsia="Arial" w:hAnsi="Arial"/>
          <w:sz w:val="16"/>
          <w:szCs w:val="16"/>
          <w:i w:val="1"/>
          <w:iCs w:val="1"/>
          <w:color w:val="auto"/>
        </w:rPr>
        <w:t xml:space="preserve"> Part II, Item 1 – Legal Proceedings</w:t>
      </w:r>
      <w:r>
        <w:rPr>
          <w:rFonts w:ascii="Arial" w:cs="Arial" w:eastAsia="Arial" w:hAnsi="Arial"/>
          <w:sz w:val="16"/>
          <w:szCs w:val="16"/>
          <w:color w:val="auto"/>
        </w:rPr>
        <w:t>) was voluntarily dismissed.</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On April 14, 2022, the Gates Complaint (as defined in </w:t>
      </w:r>
      <w:r>
        <w:rPr>
          <w:rFonts w:ascii="Arial" w:cs="Arial" w:eastAsia="Arial" w:hAnsi="Arial"/>
          <w:sz w:val="18"/>
          <w:szCs w:val="18"/>
          <w:i w:val="1"/>
          <w:iCs w:val="1"/>
          <w:color w:val="auto"/>
        </w:rPr>
        <w:t>Part II, Item 1 – Legal Proceedings</w:t>
      </w:r>
      <w:r>
        <w:rPr>
          <w:rFonts w:ascii="Arial" w:cs="Arial" w:eastAsia="Arial" w:hAnsi="Arial"/>
          <w:sz w:val="18"/>
          <w:szCs w:val="18"/>
          <w:color w:val="auto"/>
        </w:rPr>
        <w:t>) was voluntarily dismissed.</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8"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Distribution Declaration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April 4, 2022, the Board declared a monthly distribution of $0.136667 per share payable on May 3, 2022 to holders of record as of April 21,</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2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May 3, 2022, the Board declared a monthly distribution of $0.136667 per share payable on June 2, 2022 to holders of record as of May 19,</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2022.</w:t>
      </w:r>
    </w:p>
    <w:p>
      <w:pPr>
        <w:spacing w:after="0" w:line="3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Stock Repurchase Program</w:t>
      </w:r>
    </w:p>
    <w:p>
      <w:pPr>
        <w:spacing w:after="0" w:line="115" w:lineRule="exact"/>
        <w:rPr>
          <w:sz w:val="20"/>
          <w:szCs w:val="20"/>
          <w:color w:val="auto"/>
        </w:rPr>
      </w:pPr>
    </w:p>
    <w:p>
      <w:pPr>
        <w:ind w:left="140" w:right="40" w:firstLine="438"/>
        <w:spacing w:after="0" w:line="270" w:lineRule="auto"/>
        <w:rPr>
          <w:sz w:val="20"/>
          <w:szCs w:val="20"/>
          <w:color w:val="auto"/>
        </w:rPr>
      </w:pPr>
      <w:r>
        <w:rPr>
          <w:rFonts w:ascii="Arial" w:cs="Arial" w:eastAsia="Arial" w:hAnsi="Arial"/>
          <w:sz w:val="17"/>
          <w:szCs w:val="17"/>
          <w:color w:val="auto"/>
        </w:rPr>
        <w:t>On May 3, 2022, our Board authorized a program for the purpose of repurchasing up to $50 million of our outstanding shares of common stock. Under the repurchase program, we may, but are not obligated to, repurchase shares of our outstanding common stock in the open market from time to time provided that we comply with our code of ethics and the guidelines specified in Rule 10b-18 of the Exchange Act, including certain price, market volume and timing constraints. In addition, any repurchases will be conducted in accordance with the 1940 Act. Unless amended or extended by our Board, we expect the repurchase program to be in place until the earlier of May 1, 2023 or until $50 million of our outstanding shares of common stock have been repurchased. The timing and number of shares to be repurchased will depend on a number of factors, including market conditions. There are no assurances that we will engage in any repurchases.</w:t>
      </w:r>
    </w:p>
    <w:p>
      <w:pPr>
        <w:spacing w:after="0" w:line="181" w:lineRule="exact"/>
        <w:rPr>
          <w:sz w:val="20"/>
          <w:szCs w:val="20"/>
          <w:color w:val="auto"/>
        </w:rPr>
      </w:pPr>
    </w:p>
    <w:p>
      <w:pPr>
        <w:ind w:left="140" w:right="40" w:firstLine="438"/>
        <w:spacing w:after="0" w:line="272" w:lineRule="auto"/>
        <w:rPr>
          <w:sz w:val="20"/>
          <w:szCs w:val="20"/>
          <w:color w:val="auto"/>
        </w:rPr>
      </w:pPr>
      <w:r>
        <w:rPr>
          <w:rFonts w:ascii="Arial" w:cs="Arial" w:eastAsia="Arial" w:hAnsi="Arial"/>
          <w:sz w:val="17"/>
          <w:szCs w:val="17"/>
          <w:color w:val="auto"/>
        </w:rPr>
        <w:t>The global outbreak of the COVID-19 pandemic, and the related effect on the U.S. and global economies, has continued to have adverse consequences for the business operations of some of the Company’s portfolio companies and, as a result, has had adverse effects on the Company’s operations. The ultimate economic fallout from the pandemic, and the long-term impact on economies, markets, industries and individual issuers, including the Company,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Investments</w:t>
      </w:r>
    </w:p>
    <w:p>
      <w:pPr>
        <w:spacing w:after="0" w:line="119" w:lineRule="exact"/>
        <w:rPr>
          <w:sz w:val="20"/>
          <w:szCs w:val="20"/>
          <w:color w:val="auto"/>
        </w:rPr>
      </w:pPr>
    </w:p>
    <w:p>
      <w:pPr>
        <w:ind w:left="140" w:right="120" w:firstLine="438"/>
        <w:spacing w:after="0" w:line="270" w:lineRule="auto"/>
        <w:rPr>
          <w:sz w:val="20"/>
          <w:szCs w:val="20"/>
          <w:color w:val="auto"/>
        </w:rPr>
      </w:pPr>
      <w:r>
        <w:rPr>
          <w:rFonts w:ascii="Arial" w:cs="Arial" w:eastAsia="Arial" w:hAnsi="Arial"/>
          <w:sz w:val="17"/>
          <w:szCs w:val="17"/>
          <w:color w:val="auto"/>
        </w:rPr>
        <w:t>Our level of investment activity can and does vary substantially from period to period depending on many factors, including the amount of debt and equity capital available to middle market companies, the level of merger and acquisition activity for such companies, the general economic environment and the competitive environment for the types of investments we make. As a BDC, we must not acquire any assets other than “qualifying assets” specified in the 1940 Act unless, at the time the acquisition is made, at least 70% of our total assets are qualifying assets (with certain limited exceptions). Qualifying assets include investments in “eligible portfolio companies.” The definition of “eligible portfolio company” includes certain public companies that do not have any securities listed on a national securities exchange and companies whose securities are listed on a national securities exchange but whose market capitalization is less than $250 million.</w:t>
      </w:r>
    </w:p>
    <w:p>
      <w:pPr>
        <w:spacing w:after="0" w:line="2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ind w:left="140" w:firstLine="438"/>
        <w:spacing w:after="0" w:line="290" w:lineRule="auto"/>
        <w:rPr>
          <w:sz w:val="20"/>
          <w:szCs w:val="20"/>
          <w:color w:val="auto"/>
        </w:rPr>
      </w:pPr>
      <w:r>
        <w:rPr>
          <w:rFonts w:ascii="Arial" w:cs="Arial" w:eastAsia="Arial" w:hAnsi="Arial"/>
          <w:sz w:val="16"/>
          <w:szCs w:val="16"/>
          <w:color w:val="auto"/>
        </w:rPr>
        <w:t>We generate revenue primarily in the form of interest and dividend income from the securities we hold and capital gains, if any, on investment securities that we may sell. Our debt investments generally have a stated term of three to seven years and typically bear interest at a floating rate usually determined on the basis of a benchmark London interbank offered rate (“LIBOR”), commercial paper rate, or the prime rate. Interest on our debt investments is generally payable monthly or quarterly but may be bi-monthly or semi-annually. In addition, our investments may provide payment-in-kind (“PIK”) income. Such amounts of accrued PIK income are added to the cost of the investment on the respective capitalization dates and generally become due at maturity of the investment or upon the investment being called by the issuer. We may also generate revenue in the form of commitment, origination, structuring fees, fees for providing managerial assistance and, if applicable, consulting fees, etc.</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Expenses</w:t>
      </w:r>
    </w:p>
    <w:p>
      <w:pPr>
        <w:spacing w:after="0" w:line="119" w:lineRule="exact"/>
        <w:rPr>
          <w:sz w:val="20"/>
          <w:szCs w:val="20"/>
          <w:color w:val="auto"/>
        </w:rPr>
      </w:pPr>
    </w:p>
    <w:p>
      <w:pPr>
        <w:ind w:left="140" w:right="20" w:firstLine="438"/>
        <w:spacing w:after="0" w:line="310" w:lineRule="auto"/>
        <w:rPr>
          <w:sz w:val="20"/>
          <w:szCs w:val="20"/>
          <w:color w:val="auto"/>
        </w:rPr>
      </w:pPr>
      <w:r>
        <w:rPr>
          <w:rFonts w:ascii="Arial" w:cs="Arial" w:eastAsia="Arial" w:hAnsi="Arial"/>
          <w:sz w:val="16"/>
          <w:szCs w:val="16"/>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are provided and paid for by the Investment Adviser. We bear all other costs and expenses of our operations and transactions, including (without limitation):</w:t>
      </w:r>
    </w:p>
    <w:p>
      <w:pPr>
        <w:spacing w:after="0" w:line="53" w:lineRule="exact"/>
        <w:rPr>
          <w:sz w:val="20"/>
          <w:szCs w:val="20"/>
          <w:color w:val="auto"/>
        </w:rPr>
      </w:pPr>
    </w:p>
    <w:p>
      <w:pPr>
        <w:ind w:left="1100" w:hanging="421"/>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our organization and public offerings;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effecting sales and repurchases of our shares and other securities;</w:t>
      </w:r>
    </w:p>
    <w:p>
      <w:pPr>
        <w:spacing w:after="0" w:line="1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8"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on debt, if any, to finance our investments;</w:t>
      </w:r>
    </w:p>
    <w:p>
      <w:pPr>
        <w:spacing w:after="0" w:line="128" w:lineRule="exact"/>
        <w:rPr>
          <w:rFonts w:ascii="Arial" w:cs="Arial" w:eastAsia="Arial" w:hAnsi="Arial"/>
          <w:sz w:val="18"/>
          <w:szCs w:val="18"/>
          <w:color w:val="auto"/>
        </w:rPr>
      </w:pPr>
    </w:p>
    <w:p>
      <w:pPr>
        <w:ind w:left="1100" w:right="240" w:hanging="421"/>
        <w:spacing w:after="0" w:line="27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advisory fees;</w:t>
      </w:r>
    </w:p>
    <w:p>
      <w:pPr>
        <w:spacing w:after="0" w:line="76"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and staff;</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28" w:lineRule="exact"/>
        <w:rPr>
          <w:rFonts w:ascii="Arial" w:cs="Arial" w:eastAsia="Arial" w:hAnsi="Arial"/>
          <w:sz w:val="18"/>
          <w:szCs w:val="18"/>
          <w:color w:val="auto"/>
        </w:rPr>
      </w:pPr>
    </w:p>
    <w:p>
      <w:pPr>
        <w:ind w:left="1100" w:hanging="421"/>
        <w:spacing w:after="0"/>
        <w:tabs>
          <w:tab w:leader="none" w:pos="11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51" w:lineRule="exact"/>
        <w:rPr>
          <w:rFonts w:ascii="Arial" w:cs="Arial" w:eastAsia="Arial" w:hAnsi="Arial"/>
          <w:sz w:val="16"/>
          <w:szCs w:val="16"/>
          <w:color w:val="auto"/>
        </w:rPr>
      </w:pPr>
    </w:p>
    <w:p>
      <w:pPr>
        <w:ind w:left="1100" w:hanging="421"/>
        <w:spacing w:after="0" w:line="25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other expenses incurred by either SLR Capital Management or us in connection with administering our business, including payments under the Administration Agreement that will be based upon our allocable portion of overhead and other expenses incurred by SLR Capital Management in performing its obligations under the Administration Agreement, including rent, the fees and expenses associated with performing compliance functions, and our allocable portion of the costs of compensation and related expenses of our chief compliance officer and our chief financial officer and their respective staffs.</w:t>
      </w:r>
    </w:p>
    <w:p>
      <w:pPr>
        <w:spacing w:after="0" w:line="190" w:lineRule="exact"/>
        <w:rPr>
          <w:sz w:val="20"/>
          <w:szCs w:val="20"/>
          <w:color w:val="auto"/>
        </w:rPr>
      </w:pPr>
    </w:p>
    <w:p>
      <w:pPr>
        <w:ind w:left="140" w:firstLine="438"/>
        <w:spacing w:after="0" w:line="255" w:lineRule="auto"/>
        <w:rPr>
          <w:sz w:val="20"/>
          <w:szCs w:val="20"/>
          <w:color w:val="auto"/>
        </w:rPr>
      </w:pPr>
      <w:r>
        <w:rPr>
          <w:rFonts w:ascii="Arial" w:cs="Arial" w:eastAsia="Arial" w:hAnsi="Arial"/>
          <w:sz w:val="18"/>
          <w:szCs w:val="18"/>
          <w:color w:val="auto"/>
        </w:rPr>
        <w:t>We expect our general and administrative operating expenses related to our ongoing operations to increase moderately in dollar terms. During periods of asset growth, we generally expect our general and administrative operating expenses to decline as a percentage of our total assets and increase during periods of asset declines. Incentive fees, interest expense and costs relating to future offerings of securities, among others, may also increase or reduce overall operating expenses based on portfolio performance, interest rate benchmarks, and offerings of our securities relative to comparative periods, among other factors.</w:t>
      </w:r>
    </w:p>
    <w:p>
      <w:pPr>
        <w:spacing w:after="0" w:line="29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Portfolio and Investment Activity</w:t>
      </w:r>
    </w:p>
    <w:p>
      <w:pPr>
        <w:spacing w:after="0" w:line="119" w:lineRule="exact"/>
        <w:rPr>
          <w:sz w:val="20"/>
          <w:szCs w:val="20"/>
          <w:color w:val="auto"/>
        </w:rPr>
      </w:pPr>
    </w:p>
    <w:p>
      <w:pPr>
        <w:ind w:left="140" w:right="60" w:firstLine="438"/>
        <w:spacing w:after="0" w:line="258" w:lineRule="auto"/>
        <w:rPr>
          <w:sz w:val="20"/>
          <w:szCs w:val="20"/>
          <w:color w:val="auto"/>
        </w:rPr>
      </w:pPr>
      <w:r>
        <w:rPr>
          <w:rFonts w:ascii="Arial" w:cs="Arial" w:eastAsia="Arial" w:hAnsi="Arial"/>
          <w:sz w:val="18"/>
          <w:szCs w:val="18"/>
          <w:color w:val="auto"/>
        </w:rPr>
        <w:t>During the three months ended March 31, 2022, we invested approximately $67.5 million across 14 portfolio companies. This compares to investing approximately $98.7 million in 15 portfolio companies for the three months ended March 31, 2021. Investments sold, prepaid or repaid during the three months ended March 31, 2022 totaled approximately $101.0 million versus approximately $67.0 million for the three months ended March 31, 2021.</w:t>
      </w:r>
    </w:p>
    <w:p>
      <w:pPr>
        <w:spacing w:after="0" w:line="185" w:lineRule="exact"/>
        <w:rPr>
          <w:sz w:val="20"/>
          <w:szCs w:val="20"/>
          <w:color w:val="auto"/>
        </w:rPr>
      </w:pPr>
    </w:p>
    <w:p>
      <w:pPr>
        <w:ind w:left="140" w:right="80" w:firstLine="438"/>
        <w:spacing w:after="0" w:line="254" w:lineRule="auto"/>
        <w:rPr>
          <w:sz w:val="20"/>
          <w:szCs w:val="20"/>
          <w:color w:val="auto"/>
        </w:rPr>
      </w:pPr>
      <w:r>
        <w:rPr>
          <w:rFonts w:ascii="Arial" w:cs="Arial" w:eastAsia="Arial" w:hAnsi="Arial"/>
          <w:sz w:val="18"/>
          <w:szCs w:val="18"/>
          <w:color w:val="auto"/>
        </w:rPr>
        <w:t>At March 31, 2022, our portfolio consisted of 101 portfolio companies and was invested 23.2% in cash flow senior secured loans, 28.4% in asset-based senior secured loans / SLR Credit Solutions (“SLR Credit”), 14.1% in Kingsbridge Holdings, LLC (“KBH”), 16.0% in equipment senior secured financings / SLR Equipment Finance (“SLR Equipment”), and 18.3% in life science senior secured loans, in each case, measured at fair value, versus 105 portfolio companies and was invested 21.1% in cash flow senior secured loans, 25.8% in asset-based senior secured loans / SLR Credit, 13.7% in KBH, 18.2% in equipment senior secured financings / SLR Equipment, and 21.2% in life science senior secured loans, in each case, measured at fair value, at March 31, 2021.</w:t>
      </w:r>
    </w:p>
    <w:p>
      <w:pPr>
        <w:spacing w:after="0" w:line="191" w:lineRule="exact"/>
        <w:rPr>
          <w:sz w:val="20"/>
          <w:szCs w:val="20"/>
          <w:color w:val="auto"/>
        </w:rPr>
      </w:pPr>
    </w:p>
    <w:p>
      <w:pPr>
        <w:ind w:left="140" w:right="260" w:firstLine="438"/>
        <w:spacing w:after="0" w:line="310" w:lineRule="auto"/>
        <w:rPr>
          <w:sz w:val="20"/>
          <w:szCs w:val="20"/>
          <w:color w:val="auto"/>
        </w:rPr>
      </w:pPr>
      <w:r>
        <w:rPr>
          <w:rFonts w:ascii="Arial" w:cs="Arial" w:eastAsia="Arial" w:hAnsi="Arial"/>
          <w:sz w:val="16"/>
          <w:szCs w:val="16"/>
          <w:color w:val="auto"/>
        </w:rPr>
        <w:t>At March 31, 2022, 79.4% or $1.15 billion of our income producing investment portfolio</w:t>
      </w:r>
      <w:r>
        <w:rPr>
          <w:rFonts w:ascii="Arial" w:cs="Arial" w:eastAsia="Arial" w:hAnsi="Arial"/>
          <w:sz w:val="13"/>
          <w:szCs w:val="13"/>
          <w:color w:val="auto"/>
        </w:rPr>
        <w:t>*</w:t>
      </w:r>
      <w:r>
        <w:rPr>
          <w:rFonts w:ascii="Arial" w:cs="Arial" w:eastAsia="Arial" w:hAnsi="Arial"/>
          <w:sz w:val="16"/>
          <w:szCs w:val="16"/>
          <w:color w:val="auto"/>
        </w:rPr>
        <w:t xml:space="preserve"> is floating rate and 20.6% or $296.9 million is fixed rate, measured at fair value. At March 31, 2021, 72.8% or $1.14 billion of our income producing investment portfolio</w:t>
      </w:r>
      <w:r>
        <w:rPr>
          <w:rFonts w:ascii="Arial" w:cs="Arial" w:eastAsia="Arial" w:hAnsi="Arial"/>
          <w:sz w:val="13"/>
          <w:szCs w:val="13"/>
          <w:color w:val="auto"/>
        </w:rPr>
        <w:t>*</w:t>
      </w:r>
      <w:r>
        <w:rPr>
          <w:rFonts w:ascii="Arial" w:cs="Arial" w:eastAsia="Arial" w:hAnsi="Arial"/>
          <w:sz w:val="16"/>
          <w:szCs w:val="16"/>
          <w:color w:val="auto"/>
        </w:rPr>
        <w:t xml:space="preserve"> is floating rate and 27.2% or $426.3 million is fixed rate, measured at fair value. As of March 31, 2022 and 2021, we had two and zero issuers, respectively, on non-accrual status.</w:t>
      </w:r>
    </w:p>
    <w:p>
      <w:pPr>
        <w:spacing w:after="0" w:line="174" w:lineRule="exact"/>
        <w:rPr>
          <w:sz w:val="20"/>
          <w:szCs w:val="20"/>
          <w:color w:val="auto"/>
        </w:rPr>
      </w:pPr>
    </w:p>
    <w:p>
      <w:pPr>
        <w:ind w:left="360" w:right="700" w:hanging="218"/>
        <w:spacing w:after="0" w:line="275" w:lineRule="auto"/>
        <w:tabs>
          <w:tab w:leader="none" w:pos="3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We have included SLR Credit Solutions, SLR Equipment Finance and Kingsbridge Holdings, LLC within our income producing investment portfolio.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8"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SLR Credit Solutions</w:t>
      </w:r>
    </w:p>
    <w:p>
      <w:pPr>
        <w:spacing w:after="0" w:line="119" w:lineRule="exact"/>
        <w:rPr>
          <w:sz w:val="20"/>
          <w:szCs w:val="20"/>
          <w:color w:val="auto"/>
        </w:rPr>
      </w:pPr>
    </w:p>
    <w:p>
      <w:pPr>
        <w:ind w:left="140" w:right="20" w:firstLine="438"/>
        <w:spacing w:after="0" w:line="290" w:lineRule="auto"/>
        <w:rPr>
          <w:sz w:val="20"/>
          <w:szCs w:val="20"/>
          <w:color w:val="auto"/>
        </w:rPr>
      </w:pPr>
      <w:r>
        <w:rPr>
          <w:rFonts w:ascii="Arial" w:cs="Arial" w:eastAsia="Arial" w:hAnsi="Arial"/>
          <w:sz w:val="16"/>
          <w:szCs w:val="16"/>
          <w:color w:val="auto"/>
        </w:rPr>
        <w:t>On December 28, 2012, we acquired an equity interest in Crystal Capital Financial Holdings LLC (“Crystal Financial”) for $275 million in cash. Crystal Financial owned approximately 98% of the outstanding ownership interest in SLR Credit Solutions (“SLR Credit”), f/k/a Crystal Financial LLC. The remaining financial interest was held by various employees of SLR Credit, through their investment in Crystal Management LP. SLR Credit had a diversified portfolio of 23 loans having a total par value of approximately $400 million at November 30, 2012 and a $275 million committed revolving credit facility. On July 28, 2016, the Company purchased Crystal Management LP’s approximately 2% equity interest in SLR Credit for approximately $5.7 million. Upon the closing of this transaction, the Company holds 100% of the equity interest in SLR Credit. On September 30, 2016, Crystal Capital Financial Holdings LLC was dissolved. As of March 31, 2022, total commitments to the revolving credit facility are $250 million.</w:t>
      </w:r>
    </w:p>
    <w:p>
      <w:pPr>
        <w:spacing w:after="0" w:line="164" w:lineRule="exact"/>
        <w:rPr>
          <w:sz w:val="20"/>
          <w:szCs w:val="20"/>
          <w:color w:val="auto"/>
        </w:rPr>
      </w:pPr>
    </w:p>
    <w:p>
      <w:pPr>
        <w:ind w:left="140" w:right="60" w:firstLine="438"/>
        <w:spacing w:after="0" w:line="268" w:lineRule="auto"/>
        <w:rPr>
          <w:sz w:val="20"/>
          <w:szCs w:val="20"/>
          <w:color w:val="auto"/>
        </w:rPr>
      </w:pPr>
      <w:r>
        <w:rPr>
          <w:rFonts w:ascii="Arial" w:cs="Arial" w:eastAsia="Arial" w:hAnsi="Arial"/>
          <w:sz w:val="17"/>
          <w:szCs w:val="17"/>
          <w:color w:val="auto"/>
        </w:rPr>
        <w:t>As of March 31, 2022, SLR Credit had 24 funded commitments to 20 different issuers with total funded loans of approximately $305.6 million on total assets of $362.9 million. As of December 31, 2021, SLR Credit had 22 funded commitments to 19 different issuers with total funded loans of approximately $287.4 million on total assets of $347.8 million. As of March 31, 2022 and December 31, 2021, the largest loan outstanding totaled $34.4 million and $35.0 million, respectively. For the same periods, the average exposure per issuer was $15.3 million and $15.1 million, respectively. SLR Credit’s credit facility, which is non-recourse to the Company, had approximately $125.9 million and $100.7 million of borrowings outstanding at March 31, 2022 and December 31, 2021, respectively. For the three months ended March 31, 2022 and 2021, SLR Credit had net income of $2.8 million and $4.9 million, respectively, on gross income of $6.7 million and $9.7 million, respectively. Due to timing and non-cash items, there may be material differences between GAAP net income and cash available for distributions. As such, and subject to fluctuations in SLR Credit’s funded commitments, the timing of originations, and the repayments of financings, the Company cannot guarantee that SLR Credit will be able to maintain consistent dividend payments to us.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SLR Equipment Finance</w:t>
      </w:r>
    </w:p>
    <w:p>
      <w:pPr>
        <w:spacing w:after="0" w:line="119" w:lineRule="exact"/>
        <w:rPr>
          <w:sz w:val="20"/>
          <w:szCs w:val="20"/>
          <w:color w:val="auto"/>
        </w:rPr>
      </w:pPr>
    </w:p>
    <w:p>
      <w:pPr>
        <w:ind w:left="140" w:right="60" w:firstLine="438"/>
        <w:spacing w:after="0" w:line="287" w:lineRule="auto"/>
        <w:rPr>
          <w:sz w:val="20"/>
          <w:szCs w:val="20"/>
          <w:color w:val="auto"/>
        </w:rPr>
      </w:pPr>
      <w:r>
        <w:rPr>
          <w:rFonts w:ascii="Arial" w:cs="Arial" w:eastAsia="Arial" w:hAnsi="Arial"/>
          <w:sz w:val="16"/>
          <w:szCs w:val="16"/>
          <w:color w:val="auto"/>
        </w:rPr>
        <w:t>On July 31, 2017, we acquired a 100% equity interest in NEF Holdings, LLC, which conducts its business through its wholly-owned subsidiary Nations Equipment Finance, LLC. Effective February 25, 2021, Nations Equipment Finance, LLC and its related companies is doing business as SLR Equipment Finance (“SLR Equipment”). SLR Equipment is an independent equipment finance company that provides senior secured loans and leases primarily to U.S. based companies. We invested $209.9 million in cash to effect the transaction, of which $145.0 million was invested in the equity of SLR Equipment through our wholly-owned consolidated taxable subsidiary NEFCORP LLC and our wholly-owned consolidated subsidiary NEFPASS LLC and $64.9 million was used to purchase certain leases and loans held by SLR Equipment through NEFPASS LLC. Concurrent with the transaction, SLR Equipment refinanced its existing senior secured credit facility into a $150.0 million non-recourse facility with an accordion feature to expand up to $250.0 million. In September 2019, SLR Equipment amended the facility, increasing commitments to $214.0 million with an accordion feature to expand up to $314.0 million and extended the maturity date of the facility to July 31, 2023.</w:t>
      </w:r>
    </w:p>
    <w:p>
      <w:pPr>
        <w:spacing w:after="0" w:line="170" w:lineRule="exact"/>
        <w:rPr>
          <w:sz w:val="20"/>
          <w:szCs w:val="20"/>
          <w:color w:val="auto"/>
        </w:rPr>
      </w:pPr>
    </w:p>
    <w:p>
      <w:pPr>
        <w:ind w:left="140" w:firstLine="438"/>
        <w:spacing w:after="0" w:line="268" w:lineRule="auto"/>
        <w:rPr>
          <w:sz w:val="20"/>
          <w:szCs w:val="20"/>
          <w:color w:val="auto"/>
        </w:rPr>
      </w:pPr>
      <w:r>
        <w:rPr>
          <w:rFonts w:ascii="Arial" w:cs="Arial" w:eastAsia="Arial" w:hAnsi="Arial"/>
          <w:sz w:val="17"/>
          <w:szCs w:val="17"/>
          <w:color w:val="auto"/>
        </w:rPr>
        <w:t>As of March 31, 2022, SLR Equipment had 134 funded equipment-backed leases and loans to 59 different customers with a total net investment in leases and loans of approximately $198.6 million on total assets of $252.8 million. As of December 31, 2021, SLR Equipment had 135 funded equipment-backed leases and loans to 61 different customers with a total net investment in leases and loans of approximately $211.0 million on total assets of $264.0 million. As of March 31, 2022 and December 31, 2021, the largest position outstanding totaled $19.3 million and $19.2 million, respectively. For the same periods, the average exposure per customer was $3.4 million and $3.5 million, respectively. SLR Equipment’s credit facility, which is non-recourse to the Company, had approximately $111.0 million and $118.0 million of borrowings outstanding at March 31, 2022 and December 31, 2021, respectively. For the three months ended March 31, 2022 and 2021, SLR Equipment had net income (loss) of $0.6 million and ($0.3) million, respectively, on gross income of $5.2 million and $4.9 million, respectively. Due to timing and non-cash items, there may be material differences between GAAP net income and cash available for distributions. As such, and subject to fluctuations in SLR Equipment’s funded commitments, the timing of originations, and the repayments of financings, the Company cannot guarantee that SLR Equipment will be able to maintain consistent dividend payments to us.</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Kingsbridge Holdings, LLC</w:t>
      </w:r>
    </w:p>
    <w:p>
      <w:pPr>
        <w:spacing w:after="0" w:line="119" w:lineRule="exact"/>
        <w:rPr>
          <w:sz w:val="20"/>
          <w:szCs w:val="20"/>
          <w:color w:val="auto"/>
        </w:rPr>
      </w:pPr>
    </w:p>
    <w:p>
      <w:pPr>
        <w:ind w:left="140" w:firstLine="438"/>
        <w:spacing w:after="0" w:line="274" w:lineRule="auto"/>
        <w:rPr>
          <w:sz w:val="20"/>
          <w:szCs w:val="20"/>
          <w:color w:val="auto"/>
        </w:rPr>
      </w:pPr>
      <w:r>
        <w:rPr>
          <w:rFonts w:ascii="Arial" w:cs="Arial" w:eastAsia="Arial" w:hAnsi="Arial"/>
          <w:sz w:val="17"/>
          <w:szCs w:val="17"/>
          <w:color w:val="auto"/>
        </w:rPr>
        <w:t>On November 3, 2020, the Company acquired 87.5% of Kingsbridge Holdings, LLC (“KBH”) through KBH Topco LLC (“KBHT”), a newly formed Delaware corporation. KBH is a residual focused independent mid-ticket lessor of equipment primarily to U.S. investment grade companies. The Company invested $216.6 million to effect the transaction, of which $136.6 million was invested to acquire 87.5% of KBHT’s equity and $80.0 million in KBH’s debt. The existing management team of KBH committed to continue to lead KBH after the transaction. Following the transaction, the Company owns 87.5% of KBHT equity and the KBH management team owns the remaining 12.5% of KBHT’s equity.</w:t>
      </w:r>
    </w:p>
    <w:p>
      <w:pPr>
        <w:spacing w:after="0" w:line="174" w:lineRule="exact"/>
        <w:rPr>
          <w:sz w:val="20"/>
          <w:szCs w:val="20"/>
          <w:color w:val="auto"/>
        </w:rPr>
      </w:pPr>
    </w:p>
    <w:p>
      <w:pPr>
        <w:ind w:left="140" w:right="60" w:firstLine="438"/>
        <w:spacing w:after="0" w:line="253" w:lineRule="auto"/>
        <w:rPr>
          <w:sz w:val="20"/>
          <w:szCs w:val="20"/>
          <w:color w:val="auto"/>
        </w:rPr>
      </w:pPr>
      <w:r>
        <w:rPr>
          <w:rFonts w:ascii="Arial" w:cs="Arial" w:eastAsia="Arial" w:hAnsi="Arial"/>
          <w:sz w:val="18"/>
          <w:szCs w:val="18"/>
          <w:color w:val="auto"/>
        </w:rPr>
        <w:t>As of March 31, 2022 and December 31, 2021, KBHT had total assets of $729.4 million and $738.4 million, respectively. For the same periods, debt recourse to KBHT totaled $221.4 million and $216.9 million, respectively, and non-recourse debt totaled $321.2 million and $323.8 million, respectively. None of the debt is recourse to the Company. For the three months ended March 31, 2022 and 2021, KBHT had net income of $3.4 million and $2.3 million, respectively, on gross income of $66.4 million and $58.1 million, respectively. Due to timing and non-cash items, there may be material differences between GAAP net income and cash available for distributions. As such, and subject to fluctuations in KBHT’s funded commitments, the timing of originations, and the repayments of financings, the Company cannot guarantee that KBHT will be able to maintain consistent dividend payments to us.</w:t>
      </w:r>
    </w:p>
    <w:p>
      <w:pPr>
        <w:sectPr>
          <w:pgSz w:w="11900" w:h="16838" w:orient="portrait"/>
          <w:cols w:equalWidth="0" w:num="1">
            <w:col w:w="11100"/>
          </w:cols>
          <w:pgMar w:left="320" w:top="458" w:right="479" w:bottom="1440" w:gutter="0" w:footer="0" w:header="0"/>
        </w:sectPr>
      </w:pP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00"/>
          </w:cols>
          <w:pgMar w:left="320" w:top="458" w:right="47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Critical Accounting Policies</w:t>
      </w:r>
    </w:p>
    <w:p>
      <w:pPr>
        <w:spacing w:after="0" w:line="119" w:lineRule="exact"/>
        <w:rPr>
          <w:sz w:val="20"/>
          <w:szCs w:val="20"/>
          <w:color w:val="auto"/>
        </w:rPr>
      </w:pPr>
    </w:p>
    <w:p>
      <w:pPr>
        <w:ind w:left="140" w:right="260" w:firstLine="438"/>
        <w:spacing w:after="0" w:line="254" w:lineRule="auto"/>
        <w:rPr>
          <w:sz w:val="20"/>
          <w:szCs w:val="20"/>
          <w:color w:val="auto"/>
        </w:rPr>
      </w:pPr>
      <w:r>
        <w:rPr>
          <w:rFonts w:ascii="Arial" w:cs="Arial" w:eastAsia="Arial" w:hAnsi="Arial"/>
          <w:sz w:val="18"/>
          <w:szCs w:val="18"/>
          <w:color w:val="auto"/>
        </w:rPr>
        <w:t>The preparation of consolidated financial statements and related disclosures in conformity with GAAP requires management to make estimates and assumptions that affect the reported amounts of assets and liabilities, disclosure of contingent assets and liabilities at the date of the consolidated financial statements, and revenues and expenses during the periods reported. Actual results could materially differ from those estimates. We have identified the following items as critical accounting policies. Within the context of these critical accounting policies and disclosed subsequent events herein, we are not currently aware of any other reasonably likely events or circumstances that would result in materially different amounts being reported.</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conduct the valuation of our assets, pursuant to which our net asset value is determined, at all times consistent with GAAP, and the 1940 Act.</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valuation procedures are set forth in more detail in Note 2(b) to the Company’s Consolidated Financial Statements.</w:t>
      </w:r>
    </w:p>
    <w:p>
      <w:pPr>
        <w:spacing w:after="0" w:line="208" w:lineRule="exact"/>
        <w:rPr>
          <w:sz w:val="20"/>
          <w:szCs w:val="20"/>
          <w:color w:val="auto"/>
        </w:rPr>
      </w:pPr>
    </w:p>
    <w:p>
      <w:pPr>
        <w:ind w:left="140" w:right="160" w:firstLine="438"/>
        <w:spacing w:after="0" w:line="339" w:lineRule="auto"/>
        <w:rPr>
          <w:sz w:val="20"/>
          <w:szCs w:val="20"/>
          <w:color w:val="auto"/>
        </w:rPr>
      </w:pPr>
      <w:r>
        <w:rPr>
          <w:rFonts w:ascii="Arial" w:cs="Arial" w:eastAsia="Arial" w:hAnsi="Arial"/>
          <w:sz w:val="16"/>
          <w:szCs w:val="16"/>
          <w:color w:val="auto"/>
        </w:rPr>
        <w:t>Determination of fair value involves subjective judgments and estimates. Accordingly, the notes to our consolidated financial statements express the uncertainty with respect to the possible effect of such valuations, and any change in such valuations, on our consolidated financial statements.</w:t>
      </w:r>
    </w:p>
    <w:p>
      <w:pPr>
        <w:spacing w:after="0" w:line="23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2022 Unsecured Notes</w:t>
      </w:r>
    </w:p>
    <w:p>
      <w:pPr>
        <w:spacing w:after="0" w:line="115" w:lineRule="exact"/>
        <w:rPr>
          <w:sz w:val="20"/>
          <w:szCs w:val="20"/>
          <w:color w:val="auto"/>
        </w:rPr>
      </w:pPr>
    </w:p>
    <w:p>
      <w:pPr>
        <w:ind w:left="140" w:right="260" w:firstLine="438"/>
        <w:spacing w:after="0" w:line="262" w:lineRule="auto"/>
        <w:rPr>
          <w:sz w:val="20"/>
          <w:szCs w:val="20"/>
          <w:color w:val="auto"/>
        </w:rPr>
      </w:pPr>
      <w:r>
        <w:rPr>
          <w:rFonts w:ascii="Arial" w:cs="Arial" w:eastAsia="Arial" w:hAnsi="Arial"/>
          <w:sz w:val="18"/>
          <w:szCs w:val="18"/>
          <w:color w:val="auto"/>
        </w:rPr>
        <w:t>The Company has made an election to apply the fair value option of accounting to the 2022 Unsecured Notes, in accordance with ASC 825-10. We believe accounting for the 2022 Unsecured Notes at fair value better aligns the measurement methodologies of assets and liabilities, which may mitigate certain earnings volatility.</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ind w:left="140" w:right="20" w:firstLine="438"/>
        <w:spacing w:after="0" w:line="283" w:lineRule="auto"/>
        <w:rPr>
          <w:sz w:val="20"/>
          <w:szCs w:val="20"/>
          <w:color w:val="auto"/>
        </w:rPr>
      </w:pPr>
      <w:r>
        <w:rPr>
          <w:rFonts w:ascii="Arial" w:cs="Arial" w:eastAsia="Arial" w:hAnsi="Arial"/>
          <w:sz w:val="16"/>
          <w:szCs w:val="16"/>
          <w:color w:val="auto"/>
        </w:rPr>
        <w:t>The Company records dividend income and interest, adjusted for amortization of premium and accretion of discount, on an accrual basis. Investments that are expected to pay regularly scheduled interest and/or dividends in cash are generally placed on non-accrual status when principal or interest/dividend cash payments are past due 30 days or more (90 days or more for equipment financing) and/or when it is no longer probable that principal or interest/dividend cash payments will be collected. Such non-accrual investments are restored to accrual status if past due principal and interest or dividends are paid in cash, and in management’s judgment, are likely to continue timely payment of their remaining interest or dividend obligations. Interest or dividend cash payments received on investments may be recognized as income or applied to principal depending upon management’s judgment. Some of our investments may have contractual PIK income. PIK income computed at the contractual rate, as applicable, is accrued and reflected as a receivable up to the capitalization date. PIK investments offer issuers the option at each payment date of making payments in cash or in additional securities. When additional securities are received, they typically have the same terms, including maturity dates and interest rates as the original securities issued. On these payment dates, the Company capitalizes the accrued interest or dividends receivable (reflecting such amounts as the basis in the additional securities received). PIK generally becomes due at the maturity of the investment or upon the investment being called by the issuer. At the point the Company believes PIK is not expected to be realized, the PIK investment will be placed on non-accrual status. When a PIK investment is placed on non-accrual status, the accrued, uncapitalized interest or dividends is reversed from the related receivable through interest or dividend income, respectively. The Company does not reverse previously capitalized PIK income. Upon capitalization, PIK is subject to the fair value estimates associated with their related investments. PIK investments on non-accrual status are restored to accrual status if the Company again believes that PIK is expected to be realized. Loan origination fees, original issue discount, and market discounts are capitalized and amortized into income using the effective interest method. Upon the prepayment of a loan, any unamortized loan origination fees are recorded as interest income. We record prepayment premiums on loans and other investments as interest income when we receive such amounts. Capital structuring fees are recorded as other income when earned.</w:t>
      </w:r>
    </w:p>
    <w:p>
      <w:pPr>
        <w:spacing w:after="0" w:line="395" w:lineRule="exact"/>
        <w:rPr>
          <w:sz w:val="20"/>
          <w:szCs w:val="20"/>
          <w:color w:val="auto"/>
        </w:rPr>
      </w:pPr>
    </w:p>
    <w:p>
      <w:pPr>
        <w:ind w:left="140" w:firstLine="438"/>
        <w:spacing w:after="0" w:line="283" w:lineRule="auto"/>
        <w:rPr>
          <w:sz w:val="20"/>
          <w:szCs w:val="20"/>
          <w:color w:val="auto"/>
        </w:rPr>
      </w:pPr>
      <w:r>
        <w:rPr>
          <w:rFonts w:ascii="Arial" w:cs="Arial" w:eastAsia="Arial" w:hAnsi="Arial"/>
          <w:sz w:val="16"/>
          <w:szCs w:val="16"/>
          <w:color w:val="auto"/>
        </w:rPr>
        <w:t>The typically higher yields and interest rates on PIK securities, to the extent we invested, reflects the payment deferral and increased credit risk associated with such instruments and that such investments may represent a significantly higher credit risk than coupon loans. PIK securities may have unreliable valuations because their continuing accruals require continuing judgments about the collectability of the deferred payments and the value of any associated collateral. PIK income has the effect of generating investment income and increasing the incentive fees payable at a compounding rate. In addition, the deferral of PIK income also increases the loan-to-value ratio at a compounding rate. PIK securities create the risk that incentive fees will be paid to the Investment Adviser based on non-cash accruals that ultimately may not be realized, but the Investment Adviser will be under no obligation to reimburse the Company for these fees. For the three months ended March 31, 2022 and 2021, capitalized PIK income totaled $0.7 million and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$1.7 million, respectively.</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8"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 or Loss and Net Change in Unrealized Gain or Loss</w:t>
      </w:r>
    </w:p>
    <w:p>
      <w:pPr>
        <w:spacing w:after="0" w:line="115" w:lineRule="exact"/>
        <w:rPr>
          <w:sz w:val="20"/>
          <w:szCs w:val="20"/>
          <w:color w:val="auto"/>
        </w:rPr>
      </w:pPr>
    </w:p>
    <w:p>
      <w:pPr>
        <w:ind w:left="140" w:firstLine="438"/>
        <w:spacing w:after="0" w:line="255" w:lineRule="auto"/>
        <w:rPr>
          <w:sz w:val="20"/>
          <w:szCs w:val="20"/>
          <w:color w:val="auto"/>
        </w:rPr>
      </w:pPr>
      <w:r>
        <w:rPr>
          <w:rFonts w:ascii="Arial" w:cs="Arial" w:eastAsia="Arial" w:hAnsi="Arial"/>
          <w:sz w:val="18"/>
          <w:szCs w:val="18"/>
          <w:color w:val="auto"/>
        </w:rPr>
        <w:t>We generally measure realized gain or loss by the difference between the net proceeds from the repayment or sale and the amortized cost basis of the investment, without regard to unrealized appreciation or depreciation previously recognized, but considering unamortized origination or commitment fees and prepayment penalties. The net change in unrealized gain or loss reflects the change in portfolio investment values during the reporting period, including the reversal of previously recorded unrealized gain or loss, when gains or losses are realized. Gains or losses on investments are calculated by using the specific identification method.</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left="140" w:firstLine="438"/>
        <w:spacing w:after="0" w:line="292" w:lineRule="auto"/>
        <w:rPr>
          <w:sz w:val="20"/>
          <w:szCs w:val="20"/>
          <w:color w:val="auto"/>
        </w:rPr>
      </w:pPr>
      <w:r>
        <w:rPr>
          <w:rFonts w:ascii="Arial" w:cs="Arial" w:eastAsia="Arial" w:hAnsi="Arial"/>
          <w:sz w:val="16"/>
          <w:szCs w:val="16"/>
          <w:color w:val="auto"/>
        </w:rPr>
        <w:t>SLRC, a U.S. corporation, has elected to be treated, and intends to qualify annually, as a RIC under Subchapter M of the Code. In order to qualify for U.S. federal income taxation as a RIC, the Company is required, among other things, to timely distribute to its stockholders at least 90% of investment company taxable income, as defined by the Code, for each year. Depending on the level of taxable income earned in a given tax year, we may choose to carry forward taxable income in excess of current year distributions into the next tax year and pay a nondeductible 4% U.S. federal excise tax on such income, as required. To the extent that the Company determines that its estimated current year annual taxable income will be in excess of estimated current year distributions, the Company accrues an estimated excise tax, if any, on estimated excess taxable income.</w:t>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left="140" w:right="60" w:firstLine="438"/>
        <w:spacing w:after="0" w:line="295" w:lineRule="auto"/>
        <w:rPr>
          <w:sz w:val="20"/>
          <w:szCs w:val="20"/>
          <w:color w:val="auto"/>
        </w:rPr>
      </w:pPr>
      <w:r>
        <w:rPr>
          <w:rFonts w:ascii="Arial" w:cs="Arial" w:eastAsia="Arial" w:hAnsi="Arial"/>
          <w:sz w:val="16"/>
          <w:szCs w:val="16"/>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is evaluating the potential impact that the adoption of this guidance will have on the Company’s financial statements.</w:t>
      </w:r>
    </w:p>
    <w:p>
      <w:pPr>
        <w:spacing w:after="0" w:line="2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Results comparisons are for the three months ended March 31, 2022 and March 31, 2021:</w:t>
      </w:r>
    </w:p>
    <w:p>
      <w:pPr>
        <w:spacing w:after="0" w:line="3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Investment Income</w:t>
      </w:r>
    </w:p>
    <w:p>
      <w:pPr>
        <w:spacing w:after="0" w:line="119" w:lineRule="exact"/>
        <w:rPr>
          <w:sz w:val="20"/>
          <w:szCs w:val="20"/>
          <w:color w:val="auto"/>
        </w:rPr>
      </w:pPr>
    </w:p>
    <w:p>
      <w:pPr>
        <w:jc w:val="both"/>
        <w:ind w:left="140" w:right="640" w:firstLine="438"/>
        <w:spacing w:after="0" w:line="262" w:lineRule="auto"/>
        <w:rPr>
          <w:sz w:val="20"/>
          <w:szCs w:val="20"/>
          <w:color w:val="auto"/>
        </w:rPr>
      </w:pPr>
      <w:r>
        <w:rPr>
          <w:rFonts w:ascii="Arial" w:cs="Arial" w:eastAsia="Arial" w:hAnsi="Arial"/>
          <w:sz w:val="18"/>
          <w:szCs w:val="18"/>
          <w:color w:val="auto"/>
        </w:rPr>
        <w:t>For the three months ended March 31, 2022 and 2021, gross investment income totaled $33.0 million and $35.9 million, respectively. The decrease in gross investment income for the year over year three month periods was primarily due to a reduction in non-recurring fee and other miscellaneous income.</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Expenses</w:t>
      </w:r>
    </w:p>
    <w:p>
      <w:pPr>
        <w:spacing w:after="0" w:line="119" w:lineRule="exact"/>
        <w:rPr>
          <w:sz w:val="20"/>
          <w:szCs w:val="20"/>
          <w:color w:val="auto"/>
        </w:rPr>
      </w:pPr>
    </w:p>
    <w:p>
      <w:pPr>
        <w:ind w:left="140" w:right="120" w:firstLine="438"/>
        <w:spacing w:after="0" w:line="287" w:lineRule="auto"/>
        <w:rPr>
          <w:sz w:val="20"/>
          <w:szCs w:val="20"/>
          <w:color w:val="auto"/>
        </w:rPr>
      </w:pPr>
      <w:r>
        <w:rPr>
          <w:rFonts w:ascii="Arial" w:cs="Arial" w:eastAsia="Arial" w:hAnsi="Arial"/>
          <w:sz w:val="16"/>
          <w:szCs w:val="16"/>
          <w:color w:val="auto"/>
        </w:rPr>
        <w:t>Expenses totaled $19.5 million and $20.4 million, respectively, for the three months ended March 31, 2022 and 2021, of which $7.2 million and $10.7 million, respectively, were base management fees and performance-based incentive fees and $8.3 million and $7.2 million, respectively, were interest and other credit facility expenses. Administrative services and other general and administrative expenses totaled $4.0 million and $2.5 million, respectively, for the three months ended March 31, 2022 and 2021. Expenses generally consist of management and performance-based incentive fees, interest and other credit facility expenses, administrative services fees, insurance expenses, legal fees, directors’ fees, transfer agency fees, printing and proxy expenses, audit and tax services expenses, and other general and administrative expenses. Interest and other credit facility expenses generally consist of interest, unused fees, agency fees and loan origination fees, if any, among others. The decrease in expenses for the three months ended March 31, 2022 versus the three months ended March 31, 2021 was primarily due to the reduction in incentive fees. Partially offsetting the decrease were higher general and administrative expenses of approximately $1.5 million related to the Mergers.</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Net Investment Income</w:t>
      </w:r>
    </w:p>
    <w:p>
      <w:pPr>
        <w:spacing w:after="0" w:line="119" w:lineRule="exact"/>
        <w:rPr>
          <w:sz w:val="20"/>
          <w:szCs w:val="20"/>
          <w:color w:val="auto"/>
        </w:rPr>
      </w:pPr>
    </w:p>
    <w:p>
      <w:pPr>
        <w:ind w:left="140" w:right="180" w:firstLine="438"/>
        <w:spacing w:after="0" w:line="275" w:lineRule="auto"/>
        <w:rPr>
          <w:sz w:val="20"/>
          <w:szCs w:val="20"/>
          <w:color w:val="auto"/>
        </w:rPr>
      </w:pPr>
      <w:r>
        <w:rPr>
          <w:rFonts w:ascii="Arial" w:cs="Arial" w:eastAsia="Arial" w:hAnsi="Arial"/>
          <w:sz w:val="18"/>
          <w:szCs w:val="18"/>
          <w:color w:val="auto"/>
        </w:rPr>
        <w:t>The Company’s net investment income totaled $13.5 million and $15.5 million, or $0.32 and $0.37, per average share, respectively, for the three months ended March 31, 2022 and 2021.</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Net Realized Gain (Loss)</w:t>
      </w:r>
    </w:p>
    <w:p>
      <w:pPr>
        <w:spacing w:after="0" w:line="119" w:lineRule="exact"/>
        <w:rPr>
          <w:sz w:val="20"/>
          <w:szCs w:val="20"/>
          <w:color w:val="auto"/>
        </w:rPr>
      </w:pPr>
    </w:p>
    <w:p>
      <w:pPr>
        <w:ind w:left="140" w:right="20" w:firstLine="438"/>
        <w:spacing w:after="0" w:line="258" w:lineRule="auto"/>
        <w:rPr>
          <w:sz w:val="20"/>
          <w:szCs w:val="20"/>
          <w:color w:val="auto"/>
        </w:rPr>
      </w:pPr>
      <w:r>
        <w:rPr>
          <w:rFonts w:ascii="Arial" w:cs="Arial" w:eastAsia="Arial" w:hAnsi="Arial"/>
          <w:sz w:val="18"/>
          <w:szCs w:val="18"/>
          <w:color w:val="auto"/>
        </w:rPr>
        <w:t>The Company had investment sales and prepayments totaling approximately $101 million and $67 million, respectively, for the three months ended March 31, 2022 and 2021. Net realized gains (losses) over the same periods were $0.03 million and ($0.4) million, respectively. Net realized gain for the three months ended March 31, 2022 was de minimis. Net realized losses for the three months ended March 31, 2021 were generally related to the sale of our legacy investment in B. Riley Financial, Inc.</w:t>
      </w:r>
    </w:p>
    <w:p>
      <w:pPr>
        <w:sectPr>
          <w:pgSz w:w="11900" w:h="16838" w:orient="portrait"/>
          <w:cols w:equalWidth="0" w:num="1">
            <w:col w:w="11100"/>
          </w:cols>
          <w:pgMar w:left="320" w:top="458" w:right="47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00"/>
          </w:cols>
          <w:pgMar w:left="320" w:top="458" w:right="47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Net Change in Unrealized Gain (Loss)</w:t>
      </w:r>
    </w:p>
    <w:p>
      <w:pPr>
        <w:spacing w:after="0" w:line="119" w:lineRule="exact"/>
        <w:rPr>
          <w:sz w:val="20"/>
          <w:szCs w:val="20"/>
          <w:color w:val="auto"/>
        </w:rPr>
      </w:pPr>
    </w:p>
    <w:p>
      <w:pPr>
        <w:ind w:left="140" w:right="20" w:firstLine="438"/>
        <w:spacing w:after="0" w:line="290" w:lineRule="auto"/>
        <w:rPr>
          <w:sz w:val="20"/>
          <w:szCs w:val="20"/>
          <w:color w:val="auto"/>
        </w:rPr>
      </w:pPr>
      <w:r>
        <w:rPr>
          <w:rFonts w:ascii="Arial" w:cs="Arial" w:eastAsia="Arial" w:hAnsi="Arial"/>
          <w:sz w:val="16"/>
          <w:szCs w:val="16"/>
          <w:color w:val="auto"/>
        </w:rPr>
        <w:t>For the three months ended March 31, 2022 and 2021, net change in unrealized gain (loss) on the Company’s assets and liabilities totaled ($12.0) million and $6.4 million, respectively. Net unrealized loss for the three months ended March 31, 2022 is primarily due to depreciation in the value of our investments in PhyMed Management LLC and Rug Doctor LLC, among others, partially offset by appreciation in the value of our investments in KBH Topco, LLC, SOC Telemed, Inc. and Cerapedics, Inc., among others. Net unrealized gain for the three months ended March 31, 2021 is primarily due to the reversal of previously recognized depreciation in our investment in B. Riley Financial, Inc. as well as appreciation in the value of our investments in Genmark Diagnostics, Inc., SLR Credit and Senseonics Holdings, Inc., among others, partially offset by the reversal of previously recognized appreciation in our investment in Cardiva Medical, Inc. as well as depreciation in the value of our investment in SOAGG, LLC, among others.</w:t>
      </w:r>
    </w:p>
    <w:p>
      <w:pPr>
        <w:spacing w:after="0" w:line="2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Net Increase in Net Assets From Operations</w:t>
      </w:r>
    </w:p>
    <w:p>
      <w:pPr>
        <w:spacing w:after="0" w:line="119" w:lineRule="exact"/>
        <w:rPr>
          <w:sz w:val="20"/>
          <w:szCs w:val="20"/>
          <w:color w:val="auto"/>
        </w:rPr>
      </w:pPr>
    </w:p>
    <w:p>
      <w:pPr>
        <w:ind w:left="140" w:right="120" w:firstLine="438"/>
        <w:spacing w:after="0" w:line="275" w:lineRule="auto"/>
        <w:rPr>
          <w:sz w:val="20"/>
          <w:szCs w:val="20"/>
          <w:color w:val="auto"/>
        </w:rPr>
      </w:pPr>
      <w:r>
        <w:rPr>
          <w:rFonts w:ascii="Arial" w:cs="Arial" w:eastAsia="Arial" w:hAnsi="Arial"/>
          <w:sz w:val="18"/>
          <w:szCs w:val="18"/>
          <w:color w:val="auto"/>
        </w:rPr>
        <w:t>For the three months ended March 31, 2022 and 2021, the Company had a net increase in net assets resulting from operations of $1.5 million and $21.5 million, respectively. For the same periods, earnings per average share were $0.04 and $0.51, respectively.</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left="140" w:right="300" w:firstLine="438"/>
        <w:spacing w:after="0" w:line="274" w:lineRule="auto"/>
        <w:rPr>
          <w:sz w:val="20"/>
          <w:szCs w:val="20"/>
          <w:color w:val="auto"/>
        </w:rPr>
      </w:pPr>
      <w:r>
        <w:rPr>
          <w:rFonts w:ascii="Arial" w:cs="Arial" w:eastAsia="Arial" w:hAnsi="Arial"/>
          <w:sz w:val="17"/>
          <w:szCs w:val="17"/>
          <w:color w:val="auto"/>
        </w:rPr>
        <w:t>The Company’s liquidity and capital resources are generated and generally available through its Credit Facility (as defined below), the 2022 Unsecured Notes, the 2022 Tranche C Notes, the 2023 Unsecured Notes, the 2024 Unsecured Notes, the 2026 Unsecured Notes, the 2027 Unsecured Notes and the 2027 Series F Unsecured Notes, through cash flows from operations, investment sales, prepayments of senior and subordinated loans, income earned on investments and cash equivalents, and periodic follow-on equity and/or debt offerings. As of March 31, 2022, we had a total of $516.0 million of unused borrowing capacity under the Credit Facility, subject to borrowing base limits.</w:t>
      </w:r>
    </w:p>
    <w:p>
      <w:pPr>
        <w:spacing w:after="0" w:line="174" w:lineRule="exact"/>
        <w:rPr>
          <w:sz w:val="20"/>
          <w:szCs w:val="20"/>
          <w:color w:val="auto"/>
        </w:rPr>
      </w:pPr>
    </w:p>
    <w:p>
      <w:pPr>
        <w:ind w:left="140" w:right="100" w:firstLine="438"/>
        <w:spacing w:after="0" w:line="258" w:lineRule="auto"/>
        <w:rPr>
          <w:sz w:val="20"/>
          <w:szCs w:val="20"/>
          <w:color w:val="auto"/>
        </w:rPr>
      </w:pPr>
      <w:r>
        <w:rPr>
          <w:rFonts w:ascii="Arial" w:cs="Arial" w:eastAsia="Arial" w:hAnsi="Arial"/>
          <w:sz w:val="18"/>
          <w:szCs w:val="18"/>
          <w:color w:val="auto"/>
        </w:rPr>
        <w:t>We may from time to time issue equity and/or debt securities in either public or private offerings. The issuance of such securities will depend on future market conditions, funding needs and other factors and there can be no assurance that any such issuance will occur or be successful. The primary uses of existing funds and any funds raised in the future is expected to be for investments in portfolio companies, repayment of indebtedness, cash distributions to our stockholders, or for other general corporate purposes.</w:t>
      </w:r>
    </w:p>
    <w:p>
      <w:pPr>
        <w:spacing w:after="0" w:line="185"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January 6, 2022, the Company closed a private offering of $135 million of the 2027 Series F Unsecured Notes with a fixed interest rate of 3.33% and a maturity date of January 6, 2027. Interest on the 2027 Series F Unsecured Notes is due semi-annually on January 6 and July 6. The 2027 Series F Unsecured Notes were issued in a private placement only to qualified institutional buyers.</w:t>
      </w:r>
    </w:p>
    <w:p>
      <w:pPr>
        <w:spacing w:after="0" w:line="182" w:lineRule="exact"/>
        <w:rPr>
          <w:sz w:val="20"/>
          <w:szCs w:val="20"/>
          <w:color w:val="auto"/>
        </w:rPr>
      </w:pPr>
    </w:p>
    <w:p>
      <w:pPr>
        <w:ind w:left="140" w:right="60" w:firstLine="438"/>
        <w:spacing w:after="0" w:line="277" w:lineRule="auto"/>
        <w:rPr>
          <w:sz w:val="20"/>
          <w:szCs w:val="20"/>
          <w:color w:val="auto"/>
        </w:rPr>
      </w:pPr>
      <w:r>
        <w:rPr>
          <w:rFonts w:ascii="Arial" w:cs="Arial" w:eastAsia="Arial" w:hAnsi="Arial"/>
          <w:sz w:val="17"/>
          <w:szCs w:val="17"/>
          <w:color w:val="auto"/>
        </w:rPr>
        <w:t>On December 28, 2021, the Company closed on Amendment No. 1 to its August 28, 2019 senior secured credit agreement (the “Credit Facility”). Following the amendment, the Credit Facility is composed of $600 million of revolving credit and $100 million of term loans. Borrowings generally bear interest at a rate per annum equal to the base rate plus a range of 1.75%-2.00% or the alternate base rate plus 0.75%-1.00%. The Credit Facility has a 0% floor and matures in December 2026 and includes ratable amortization in the final year.</w:t>
      </w:r>
    </w:p>
    <w:p>
      <w:pPr>
        <w:spacing w:after="0" w:line="172" w:lineRule="exact"/>
        <w:rPr>
          <w:sz w:val="20"/>
          <w:szCs w:val="20"/>
          <w:color w:val="auto"/>
        </w:rPr>
      </w:pPr>
    </w:p>
    <w:p>
      <w:pPr>
        <w:ind w:left="140" w:firstLine="438"/>
        <w:spacing w:after="0" w:line="262" w:lineRule="auto"/>
        <w:rPr>
          <w:sz w:val="20"/>
          <w:szCs w:val="20"/>
          <w:color w:val="auto"/>
        </w:rPr>
      </w:pPr>
      <w:r>
        <w:rPr>
          <w:rFonts w:ascii="Arial" w:cs="Arial" w:eastAsia="Arial" w:hAnsi="Arial"/>
          <w:sz w:val="18"/>
          <w:szCs w:val="18"/>
          <w:color w:val="auto"/>
        </w:rPr>
        <w:t>On September 14, 2021, the Company closed a private offering of $50 million of the 2027 Unsecured Notes with a fixed interest rate of 2.95% and a maturity date of March 14, 2027. Interest on the 2027 Unsecured Notes is due semi-annually on March 14 and September 14. The 2027 Unsecured Notes were issued in a private placement only to qualified institutional buyers.</w:t>
      </w:r>
    </w:p>
    <w:p>
      <w:pPr>
        <w:spacing w:after="0" w:line="182"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$125 million of the 2024 Unsecured Notes with a fixed interest rate of 4.20% and a maturity date of December 15, 2024. Interest on the 2024 Unsecured Notes is due semi-annually on June 15 and December 15. The 2024 Unsecured Notes were issued in a private placement only to qualified institutional buyers.</w:t>
      </w:r>
    </w:p>
    <w:p>
      <w:pPr>
        <w:spacing w:after="0" w:line="182"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$75 million of the 2026 Unsecured Notes with a fixed interest rate of 4.375% and a maturity date of December 15, 2026. Interest on the 2026 Unsecured Notes is due semi-annually on June 15 and December 15. The 2026 Unsecured Notes were issued in a private placement only to qualified institutional buyers.</w:t>
      </w:r>
    </w:p>
    <w:p>
      <w:pPr>
        <w:spacing w:after="0" w:line="182" w:lineRule="exact"/>
        <w:rPr>
          <w:sz w:val="20"/>
          <w:szCs w:val="20"/>
          <w:color w:val="auto"/>
        </w:rPr>
      </w:pPr>
    </w:p>
    <w:p>
      <w:pPr>
        <w:ind w:left="140" w:right="40" w:firstLine="438"/>
        <w:spacing w:after="0" w:line="262" w:lineRule="auto"/>
        <w:rPr>
          <w:sz w:val="20"/>
          <w:szCs w:val="20"/>
          <w:color w:val="auto"/>
        </w:rPr>
      </w:pPr>
      <w:r>
        <w:rPr>
          <w:rFonts w:ascii="Arial" w:cs="Arial" w:eastAsia="Arial" w:hAnsi="Arial"/>
          <w:sz w:val="18"/>
          <w:szCs w:val="18"/>
          <w:color w:val="auto"/>
        </w:rPr>
        <w:t>On December 28, 2017, the Company closed a private offering of $21 million of the 2022 Tranche C Notes with a fixed interest rate of 4.50% and a maturity date of December 28, 2022. Interest on the 2022 Tranche C Notes is due semi-annually on June 28 and December 28. The 2022 Tranche C Notes were issued in a private placement only to qualified institutional buyers.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22, 2017, we issued $75 million in aggregate principal amount of publicly registered 2023 Unsecured Notes for net proceeds of</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$73.8 million. Interest on the 2023 Unsecured Notes is paid semi-annually on January 20 and July 20, at a fixed rate of 4.50% per year, commencing on</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January 20, 2018. The 2023 Unsecured Notes mature on January 20, 2023.</w:t>
      </w:r>
    </w:p>
    <w:p>
      <w:pPr>
        <w:spacing w:after="0" w:line="208" w:lineRule="exact"/>
        <w:rPr>
          <w:sz w:val="20"/>
          <w:szCs w:val="20"/>
          <w:color w:val="auto"/>
        </w:rPr>
      </w:pPr>
    </w:p>
    <w:p>
      <w:pPr>
        <w:jc w:val="both"/>
        <w:ind w:left="140" w:right="20" w:firstLine="438"/>
        <w:spacing w:after="0" w:line="262" w:lineRule="auto"/>
        <w:rPr>
          <w:sz w:val="20"/>
          <w:szCs w:val="20"/>
          <w:color w:val="auto"/>
        </w:rPr>
      </w:pPr>
      <w:r>
        <w:rPr>
          <w:rFonts w:ascii="Arial" w:cs="Arial" w:eastAsia="Arial" w:hAnsi="Arial"/>
          <w:sz w:val="18"/>
          <w:szCs w:val="18"/>
          <w:color w:val="auto"/>
        </w:rPr>
        <w:t>On February 15, 2017, the Company closed a private offering of $100 million of the 2022 Unsecured Notes with a fixed interest rate of 4.60% and a maturity date of May 8, 2022. Interest on the 2022 Unsecured Notes is due semi-annually on May 8 and November 8. The 2022 Unsecured Notes were issued in a private placement only to qualified institutional buyers.</w:t>
      </w:r>
    </w:p>
    <w:p>
      <w:pPr>
        <w:sectPr>
          <w:pgSz w:w="11900" w:h="16838" w:orient="portrait"/>
          <w:cols w:equalWidth="0" w:num="1">
            <w:col w:w="11100"/>
          </w:cols>
          <w:pgMar w:left="320" w:top="458" w:right="479" w:bottom="1440" w:gutter="0" w:footer="0" w:header="0"/>
        </w:sectPr>
      </w:pP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00"/>
          </w:cols>
          <w:pgMar w:left="320" w:top="458" w:right="4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140" w:right="20" w:firstLine="438"/>
        <w:spacing w:after="0" w:line="262" w:lineRule="auto"/>
        <w:rPr>
          <w:sz w:val="20"/>
          <w:szCs w:val="20"/>
          <w:color w:val="auto"/>
        </w:rPr>
      </w:pPr>
      <w:r>
        <w:rPr>
          <w:rFonts w:ascii="Arial" w:cs="Arial" w:eastAsia="Arial" w:hAnsi="Arial"/>
          <w:sz w:val="18"/>
          <w:szCs w:val="18"/>
          <w:color w:val="auto"/>
        </w:rPr>
        <w:t>On November 8, 2016, the Company closed a private offering of $50 million of the 2022 Unsecured Notes with a fixed interest rate of 4.40% and a maturity date of May 8, 2022. Interest on the 2022 Unsecured Notes is due semi-annually on May 8 and November 8. The 2022 Unsecured Notes were issued in a private placement only to qualified institutional buyers.</w:t>
      </w:r>
    </w:p>
    <w:p>
      <w:pPr>
        <w:spacing w:after="0" w:line="182" w:lineRule="exact"/>
        <w:rPr>
          <w:sz w:val="20"/>
          <w:szCs w:val="20"/>
          <w:color w:val="auto"/>
        </w:rPr>
      </w:pPr>
    </w:p>
    <w:p>
      <w:pPr>
        <w:ind w:left="140" w:right="20" w:firstLine="438"/>
        <w:spacing w:after="0" w:line="262" w:lineRule="auto"/>
        <w:rPr>
          <w:sz w:val="20"/>
          <w:szCs w:val="20"/>
          <w:color w:val="auto"/>
        </w:rPr>
      </w:pPr>
      <w:r>
        <w:rPr>
          <w:rFonts w:ascii="Arial" w:cs="Arial" w:eastAsia="Arial" w:hAnsi="Arial"/>
          <w:sz w:val="18"/>
          <w:szCs w:val="18"/>
          <w:color w:val="auto"/>
        </w:rPr>
        <w:t>On January 11, 2013, the Company closed its most recent follow-on public equity offering of 6.3 million shares of common stock raising approximately $146.9 million in net proceeds. The primary uses of the funds raised were for investments in portfolio companies, reductions in revolving debt outstanding and for other general corporate purposes.</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Cash Equivalents</w:t>
      </w:r>
    </w:p>
    <w:p>
      <w:pPr>
        <w:spacing w:after="0" w:line="119" w:lineRule="exact"/>
        <w:rPr>
          <w:sz w:val="20"/>
          <w:szCs w:val="20"/>
          <w:color w:val="auto"/>
        </w:rPr>
      </w:pPr>
    </w:p>
    <w:p>
      <w:pPr>
        <w:ind w:left="140" w:right="20" w:firstLine="438"/>
        <w:spacing w:after="0" w:line="287" w:lineRule="auto"/>
        <w:rPr>
          <w:sz w:val="20"/>
          <w:szCs w:val="20"/>
          <w:color w:val="auto"/>
        </w:rPr>
      </w:pPr>
      <w:r>
        <w:rPr>
          <w:rFonts w:ascii="Arial" w:cs="Arial" w:eastAsia="Arial" w:hAnsi="Arial"/>
          <w:sz w:val="16"/>
          <w:szCs w:val="16"/>
          <w:color w:val="auto"/>
        </w:rPr>
        <w:t>We deem certain U.S. Treasury bills, repurchase agreements and other high-quality, short-term debt securities as cash equivalents. The Company makes purchases that are consistent with its purpose of making investments in securities described in paragraphs 1 through 3 of Section 55(a) of the 1940 Act. From time to time, including at or near the end of each fiscal quarter, we consider using various temporary investment strategies for our business. One strategy includes taking proactive steps by utilizing cash equivalents as temporary assets with the objective of enhancing our investment flexibility pursuant to Section 55 of the 1940 Act. More specifically, from time-to-time we may purchase U.S. Treasury bills or other high-quality, short-term debt securities at or near the end of the quarter and typically close out the position on a net cash basis subsequent to quarter end. We may also utilize repurchase agreements or other balance sheet transactions, including drawing down on the Credit Facility, as deemed appropriate. The amount of these transactions or such drawn cash for this purpose is excluded from total assets for purposes of computing the asset base upon which the management fee is determined. We held approximately $580 million in cash equivalents as of March 31, 2022.</w:t>
      </w:r>
    </w:p>
    <w:p>
      <w:pPr>
        <w:spacing w:after="0" w:line="27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Debt</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Unsecured Notes</w:t>
      </w:r>
    </w:p>
    <w:p>
      <w:pPr>
        <w:spacing w:after="0" w:line="115"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January 6, 2022, the Company closed a private offering of $135 million of the 2027 Series F Unsecured Notes with a fixed interest rate of 3.33% and a maturity date of January 6, 2027. Interest on the 2027 Series F Unsecured Notes is due semi-annually on January 6 and July 6. The 2027 Series F Unsecured Notes were issued in a private placement only to qualified institutional buyers.</w:t>
      </w:r>
    </w:p>
    <w:p>
      <w:pPr>
        <w:spacing w:after="0" w:line="182" w:lineRule="exact"/>
        <w:rPr>
          <w:sz w:val="20"/>
          <w:szCs w:val="20"/>
          <w:color w:val="auto"/>
        </w:rPr>
      </w:pPr>
    </w:p>
    <w:p>
      <w:pPr>
        <w:ind w:left="140" w:firstLine="438"/>
        <w:spacing w:after="0" w:line="262" w:lineRule="auto"/>
        <w:rPr>
          <w:sz w:val="20"/>
          <w:szCs w:val="20"/>
          <w:color w:val="auto"/>
        </w:rPr>
      </w:pPr>
      <w:r>
        <w:rPr>
          <w:rFonts w:ascii="Arial" w:cs="Arial" w:eastAsia="Arial" w:hAnsi="Arial"/>
          <w:sz w:val="18"/>
          <w:szCs w:val="18"/>
          <w:color w:val="auto"/>
        </w:rPr>
        <w:t>On September 14, 2021, the Company closed a private offering of $50 million of the 2027 Unsecured Notes with a fixed interest rate of 2.95% and a maturity date of March 14, 2027. Interest on the 2027 Unsecured Notes is due semi-annually on March 14 and September 14. The 2027 Unsecured Notes were issued in a private placement only to qualified institutional buyers.</w:t>
      </w:r>
    </w:p>
    <w:p>
      <w:pPr>
        <w:spacing w:after="0" w:line="182"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$125 million of the 2024 Unsecured Notes with a fixed interest rate of 4.20% and a maturity date of December 15, 2024. Interest on the 2024 Unsecured Notes is due semi-annually on June 15 and December 15. The 2024 Unsecured Notes were issued in a private placement only to qualified institutional buyers.</w:t>
      </w:r>
    </w:p>
    <w:p>
      <w:pPr>
        <w:spacing w:after="0" w:line="182" w:lineRule="exact"/>
        <w:rPr>
          <w:sz w:val="20"/>
          <w:szCs w:val="20"/>
          <w:color w:val="auto"/>
        </w:rPr>
      </w:pPr>
    </w:p>
    <w:p>
      <w:pPr>
        <w:ind w:left="140" w:right="240" w:firstLine="438"/>
        <w:spacing w:after="0" w:line="262" w:lineRule="auto"/>
        <w:rPr>
          <w:sz w:val="20"/>
          <w:szCs w:val="20"/>
          <w:color w:val="auto"/>
        </w:rPr>
      </w:pPr>
      <w:r>
        <w:rPr>
          <w:rFonts w:ascii="Arial" w:cs="Arial" w:eastAsia="Arial" w:hAnsi="Arial"/>
          <w:sz w:val="18"/>
          <w:szCs w:val="18"/>
          <w:color w:val="auto"/>
        </w:rPr>
        <w:t>On December 18, 2019, the Company closed a private offering of $75 million of the 2026 Unsecured Notes with a fixed interest rate of 4.375% and a maturity date of December 15, 2026. Interest on the 2026 Unsecured Notes is due semi-annually on June 15 and December 15. The 2026 Unsecured Notes were issued in a private placement only to qualified institutional buyers.</w:t>
      </w:r>
    </w:p>
    <w:p>
      <w:pPr>
        <w:spacing w:after="0" w:line="182" w:lineRule="exact"/>
        <w:rPr>
          <w:sz w:val="20"/>
          <w:szCs w:val="20"/>
          <w:color w:val="auto"/>
        </w:rPr>
      </w:pPr>
    </w:p>
    <w:p>
      <w:pPr>
        <w:ind w:left="140" w:right="40" w:firstLine="438"/>
        <w:spacing w:after="0" w:line="262" w:lineRule="auto"/>
        <w:rPr>
          <w:sz w:val="20"/>
          <w:szCs w:val="20"/>
          <w:color w:val="auto"/>
        </w:rPr>
      </w:pPr>
      <w:r>
        <w:rPr>
          <w:rFonts w:ascii="Arial" w:cs="Arial" w:eastAsia="Arial" w:hAnsi="Arial"/>
          <w:sz w:val="18"/>
          <w:szCs w:val="18"/>
          <w:color w:val="auto"/>
        </w:rPr>
        <w:t>On December 28, 2017, the Company closed a private offering of $21 million of the 2022 Tranche C Notes with a fixed interest rate of 4.50% and a maturity date of December 28, 2022. Interest on the 2022 Tranche C Notes is due semi-annually on June 28 and December 28. The 2022 Tranche C Notes were issued in a private placement only to qualified institutional buyers.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November 22, 2017, we issued $75 million in aggregate principal amount of publicly registered 2023 Unsecured Notes for net proceeds of</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$73.8 million. Interest on the 2023 Unsecured Notes is paid semi-annually on January 20 and July 20, at a fixed rate of 4.50% per year, commencing on</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January 20, 2018. The 2023 Unsecured Notes mature on January 20, 2023.</w:t>
      </w:r>
    </w:p>
    <w:p>
      <w:pPr>
        <w:spacing w:after="0" w:line="208" w:lineRule="exact"/>
        <w:rPr>
          <w:sz w:val="20"/>
          <w:szCs w:val="20"/>
          <w:color w:val="auto"/>
        </w:rPr>
      </w:pPr>
    </w:p>
    <w:p>
      <w:pPr>
        <w:jc w:val="both"/>
        <w:ind w:left="140" w:right="20" w:firstLine="438"/>
        <w:spacing w:after="0" w:line="262" w:lineRule="auto"/>
        <w:rPr>
          <w:sz w:val="20"/>
          <w:szCs w:val="20"/>
          <w:color w:val="auto"/>
        </w:rPr>
      </w:pPr>
      <w:r>
        <w:rPr>
          <w:rFonts w:ascii="Arial" w:cs="Arial" w:eastAsia="Arial" w:hAnsi="Arial"/>
          <w:sz w:val="18"/>
          <w:szCs w:val="18"/>
          <w:color w:val="auto"/>
        </w:rPr>
        <w:t>On February 15, 2017, the Company closed a private offering of $100 million of the 2022 Unsecured Notes with a fixed interest rate of 4.60% and a maturity date of May 8, 2022. Interest on the 2022 Unsecured Notes is due semi-annually on May 8 and November 8. The 2022 Unsecured Notes were issued in a private placement only to qualified institutional buyers.</w:t>
      </w:r>
    </w:p>
    <w:p>
      <w:pPr>
        <w:spacing w:after="0" w:line="182" w:lineRule="exact"/>
        <w:rPr>
          <w:sz w:val="20"/>
          <w:szCs w:val="20"/>
          <w:color w:val="auto"/>
        </w:rPr>
      </w:pPr>
    </w:p>
    <w:p>
      <w:pPr>
        <w:jc w:val="both"/>
        <w:ind w:left="140" w:right="20" w:firstLine="438"/>
        <w:spacing w:after="0" w:line="262" w:lineRule="auto"/>
        <w:rPr>
          <w:sz w:val="20"/>
          <w:szCs w:val="20"/>
          <w:color w:val="auto"/>
        </w:rPr>
      </w:pPr>
      <w:r>
        <w:rPr>
          <w:rFonts w:ascii="Arial" w:cs="Arial" w:eastAsia="Arial" w:hAnsi="Arial"/>
          <w:sz w:val="18"/>
          <w:szCs w:val="18"/>
          <w:color w:val="auto"/>
        </w:rPr>
        <w:t>On November 8, 2016, the Company closed a private offering of $50 million of the 2022 Unsecured Notes with a fixed interest rate of 4.40% and a maturity date of May 8, 2022. Interest on the 2022 Unsecured Notes is due semi-annually on May 8 and November 8. The 2022 Unsecured Notes were issued in a private placement only to qualified institutional buyers.</w:t>
      </w:r>
    </w:p>
    <w:p>
      <w:pPr>
        <w:spacing w:after="0" w:line="29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Revolving &amp; Term Loan Facility</w:t>
      </w:r>
    </w:p>
    <w:p>
      <w:pPr>
        <w:spacing w:after="0" w:line="115" w:lineRule="exact"/>
        <w:rPr>
          <w:sz w:val="20"/>
          <w:szCs w:val="20"/>
          <w:color w:val="auto"/>
        </w:rPr>
      </w:pPr>
    </w:p>
    <w:p>
      <w:pPr>
        <w:ind w:left="140" w:firstLine="438"/>
        <w:spacing w:after="0" w:line="269" w:lineRule="auto"/>
        <w:rPr>
          <w:sz w:val="20"/>
          <w:szCs w:val="20"/>
          <w:color w:val="auto"/>
        </w:rPr>
      </w:pPr>
      <w:r>
        <w:rPr>
          <w:rFonts w:ascii="Arial" w:cs="Arial" w:eastAsia="Arial" w:hAnsi="Arial"/>
          <w:sz w:val="17"/>
          <w:szCs w:val="17"/>
          <w:color w:val="auto"/>
        </w:rPr>
        <w:t>On December 28, 2021, the Company closed on Amendment No. 1 to the Credit Facility. Following the amendment, the Credit Facility is composed of $600 million of revolving credit and $100 million of term loans. Borrowings generally bear interest at a rate per annum equal to the base rate plus a range of 1.75%-2.00% or the alternate base rate plus 0.75%-1.00%. The Credit Facility has a 0% floor and matures in December 2026 and includes ratable amortization in the final year. The Credit Facility may be increased up to $800 million with additional new lenders or an increase in commitments from current lenders. The Credit Facility contains certain customary affirmative and negative covenants and events of default. In addition, the Credit Facility contains certain financial covenants that among other things, requires the Company to maintain a minimum shareholder’s equity and a minimum asset coverage ratio. At March 31, 2022, outstanding USD equivalent borrowings under the Credit Facility totaled $184.0 million, composed of $84.0 million of revolving credit and $100.0 million of term loans.</w:t>
      </w:r>
    </w:p>
    <w:p>
      <w:pPr>
        <w:sectPr>
          <w:pgSz w:w="11900" w:h="16838" w:orient="portrait"/>
          <w:cols w:equalWidth="0" w:num="1">
            <w:col w:w="11100"/>
          </w:cols>
          <w:pgMar w:left="320" w:top="458" w:right="479" w:bottom="888" w:gutter="0" w:footer="0" w:header="0"/>
        </w:sectPr>
      </w:pP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8" w:right="479" w:bottom="888"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right="220" w:firstLine="438"/>
        <w:spacing w:after="0" w:line="284" w:lineRule="auto"/>
        <w:rPr>
          <w:sz w:val="20"/>
          <w:szCs w:val="20"/>
          <w:color w:val="auto"/>
        </w:rPr>
      </w:pPr>
      <w:r>
        <w:rPr>
          <w:rFonts w:ascii="Arial" w:cs="Arial" w:eastAsia="Arial" w:hAnsi="Arial"/>
          <w:sz w:val="17"/>
          <w:szCs w:val="17"/>
          <w:color w:val="auto"/>
        </w:rPr>
        <w:t>Certain covenants on our issued debt may restrict our business activities, including limitations that could hinder our ability to finance additional loans and investments or to make the distributions required to maintain our status as a RIC under Subchapter M of the Code. At March 31, 2022, the Company was in compliance with all financial and operational covenants required by the Debt Instruments.</w:t>
      </w: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our significant contractual payment obligations is as follows as of March 31, 2022:</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Payments Due by Period (in millions)</w:t>
      </w:r>
    </w:p>
    <w:p>
      <w:pPr>
        <w:spacing w:after="0" w:line="23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Less than</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6"/>
              </w:rPr>
              <w:t>1-3 Years</w:t>
            </w:r>
          </w:p>
        </w:tc>
        <w:tc>
          <w:tcPr>
            <w:tcW w:w="1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0"/>
        </w:trPr>
        <w:tc>
          <w:tcPr>
            <w:tcW w:w="66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8"/>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 (1)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84.0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660" w:type="dxa"/>
            <w:vAlign w:val="bottom"/>
          </w:tcPr>
          <w:p>
            <w:pPr>
              <w:spacing w:after="0"/>
              <w:rPr>
                <w:sz w:val="20"/>
                <w:szCs w:val="20"/>
                <w:color w:val="auto"/>
              </w:rPr>
            </w:pPr>
            <w:r>
              <w:rPr>
                <w:rFonts w:ascii="Arial" w:cs="Arial" w:eastAsia="Arial" w:hAnsi="Arial"/>
                <w:sz w:val="18"/>
                <w:szCs w:val="18"/>
                <w:color w:val="auto"/>
              </w:rPr>
              <w:t>Unsecured senior notes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631.0</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246.0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85090</wp:posOffset>
            </wp:positionV>
            <wp:extent cx="767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54" w:lineRule="exact"/>
        <w:rPr>
          <w:sz w:val="20"/>
          <w:szCs w:val="20"/>
          <w:color w:val="auto"/>
        </w:rPr>
      </w:pPr>
    </w:p>
    <w:p>
      <w:pPr>
        <w:ind w:left="580" w:right="240" w:hanging="438"/>
        <w:spacing w:after="0" w:line="275"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March 31, 2022, we had a total of $516.0 million of unused borrowing capacity under our revolving credit facilities, subject to borrowing base limits.</w:t>
      </w:r>
    </w:p>
    <w:p>
      <w:pPr>
        <w:spacing w:after="0" w:line="171" w:lineRule="exact"/>
        <w:rPr>
          <w:sz w:val="20"/>
          <w:szCs w:val="20"/>
          <w:color w:val="auto"/>
        </w:rPr>
      </w:pPr>
    </w:p>
    <w:p>
      <w:pPr>
        <w:ind w:left="140" w:right="100" w:firstLine="438"/>
        <w:spacing w:after="0" w:line="253" w:lineRule="auto"/>
        <w:rPr>
          <w:sz w:val="20"/>
          <w:szCs w:val="20"/>
          <w:color w:val="auto"/>
        </w:rPr>
      </w:pPr>
      <w:r>
        <w:rPr>
          <w:rFonts w:ascii="Arial" w:cs="Arial" w:eastAsia="Arial" w:hAnsi="Arial"/>
          <w:sz w:val="18"/>
          <w:szCs w:val="18"/>
          <w:color w:val="auto"/>
        </w:rPr>
        <w:t>Under the provisions of the 1940 Act, we are permitted, as a BDC, to issue senior securities in amounts such that our asset coverage ratio, as defined in the 1940 Act, equals at least 150% of gross assets less all liabilities and indebtedness not represented by senior securities, after each issuance of senior securities. If the value of our assets declines,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 common stockholders. Furthermore, as a result of issuing senior securities, we would also be exposed to typical risks associated with leverage, including an increased risk of loss.</w:t>
      </w:r>
    </w:p>
    <w:p>
      <w:pPr>
        <w:spacing w:after="0" w:line="193" w:lineRule="exact"/>
        <w:rPr>
          <w:sz w:val="20"/>
          <w:szCs w:val="20"/>
          <w:color w:val="auto"/>
        </w:rPr>
      </w:pPr>
    </w:p>
    <w:p>
      <w:pPr>
        <w:ind w:left="140" w:right="20" w:firstLine="438"/>
        <w:spacing w:after="0" w:line="269" w:lineRule="auto"/>
        <w:rPr>
          <w:sz w:val="20"/>
          <w:szCs w:val="20"/>
          <w:color w:val="auto"/>
        </w:rPr>
      </w:pPr>
      <w:r>
        <w:rPr>
          <w:rFonts w:ascii="Arial" w:cs="Arial" w:eastAsia="Arial" w:hAnsi="Arial"/>
          <w:sz w:val="17"/>
          <w:szCs w:val="17"/>
          <w:color w:val="auto"/>
        </w:rPr>
        <w:t>We have also entered into two contracts under which we have future commitments: the Advisory Agreement, pursuant to which the Investment Adviser has agreed to serve as our investment adviser, and the Administration Agreement, pursuant to which the Administrator has agreed to furnish us with the facilities and administrative services necessary to conduct our day-to-day operations and provide on our behalf managerial assistance to those portfolio companies to which we are required to provide such assistance. Payments under the Advisory Agreement are equal to (1) a percentage of the value of our average gross assets and (2) a two-part incentive fee. Payments under the Administration Agreement are equal to an amount based upon our allocable portion of the Administrator’s overhead in performing its obligations under the Administration Agreement, including rent, technology systems, insurance and our allocable portion of the costs of our chief financial officer and chief compliance officer and their respective staffs. Either party may terminate each of the Advisory Agreement and administration agreement without penalty upon 60 days’ written notice to the other. See note 3 to our Consolidated Financial Statements.</w:t>
      </w:r>
    </w:p>
    <w:p>
      <w:pPr>
        <w:spacing w:after="0" w:line="178" w:lineRule="exact"/>
        <w:rPr>
          <w:sz w:val="20"/>
          <w:szCs w:val="20"/>
          <w:color w:val="auto"/>
        </w:rPr>
      </w:pPr>
    </w:p>
    <w:p>
      <w:pPr>
        <w:ind w:left="140" w:right="120" w:firstLine="438"/>
        <w:spacing w:after="0" w:line="262" w:lineRule="auto"/>
        <w:rPr>
          <w:sz w:val="20"/>
          <w:szCs w:val="20"/>
          <w:color w:val="auto"/>
        </w:rPr>
      </w:pPr>
      <w:r>
        <w:rPr>
          <w:rFonts w:ascii="Arial" w:cs="Arial" w:eastAsia="Arial" w:hAnsi="Arial"/>
          <w:sz w:val="18"/>
          <w:szCs w:val="18"/>
          <w:color w:val="auto"/>
        </w:rPr>
        <w:t>On July 31, 2017, the Company, NEFPASS LLC and NEFCORP LLC entered into a servicing agreement. NEFCORP LLC was engaged to provide NEFPASS LLC with administrative services related to the loans and capital leases held by NEFPASS LLC. NEFPASS LLC may terminate this agreement upon 30 days’ written notice to NEFCORP LLC.</w:t>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115" w:lineRule="exact"/>
        <w:rPr>
          <w:sz w:val="20"/>
          <w:szCs w:val="20"/>
          <w:color w:val="auto"/>
        </w:rPr>
      </w:pPr>
    </w:p>
    <w:p>
      <w:pPr>
        <w:jc w:val="both"/>
        <w:ind w:left="140" w:right="20" w:firstLine="438"/>
        <w:spacing w:after="0" w:line="262" w:lineRule="auto"/>
        <w:rPr>
          <w:sz w:val="20"/>
          <w:szCs w:val="20"/>
          <w:color w:val="auto"/>
        </w:rPr>
      </w:pPr>
      <w:r>
        <w:rPr>
          <w:rFonts w:ascii="Arial" w:cs="Arial" w:eastAsia="Arial" w:hAnsi="Arial"/>
          <w:sz w:val="18"/>
          <w:szCs w:val="18"/>
          <w:color w:val="auto"/>
        </w:rPr>
        <w:t>Information about our senior securities is shown in the following table (in thousands) as of the quarter ended March 31, 2022 and each year ended December 31 for the past ten years, unless otherwise noted. The “—” indicates information which the SEC expressly does not require to be disclosed for certain types of senior securities.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8"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Asset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7"/>
              </w:rPr>
              <w:t>Total Amount</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8"/>
              </w:rPr>
              <w:t>Liquidating</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940" w:type="dxa"/>
            <w:vAlign w:val="bottom"/>
            <w:vMerge w:val="restart"/>
          </w:tcPr>
          <w:p>
            <w:pPr>
              <w:spacing w:after="0"/>
              <w:rPr>
                <w:sz w:val="12"/>
                <w:szCs w:val="12"/>
                <w:color w:val="auto"/>
              </w:rPr>
            </w:pPr>
          </w:p>
        </w:tc>
        <w:tc>
          <w:tcPr>
            <w:tcW w:w="1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30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90"/>
              </w:rPr>
              <w:t>Coverage</w:t>
            </w:r>
          </w:p>
        </w:tc>
        <w:tc>
          <w:tcPr>
            <w:tcW w:w="7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Preference</w:t>
            </w:r>
          </w:p>
        </w:tc>
        <w:tc>
          <w:tcPr>
            <w:tcW w:w="600" w:type="dxa"/>
            <w:vAlign w:val="bottom"/>
          </w:tcPr>
          <w:p>
            <w:pPr>
              <w:spacing w:after="0"/>
              <w:rPr>
                <w:sz w:val="12"/>
                <w:szCs w:val="12"/>
                <w:color w:val="auto"/>
              </w:rPr>
            </w:pPr>
          </w:p>
        </w:tc>
        <w:tc>
          <w:tcPr>
            <w:tcW w:w="900" w:type="dxa"/>
            <w:vAlign w:val="bottom"/>
            <w:gridSpan w:val="3"/>
          </w:tcPr>
          <w:p>
            <w:pPr>
              <w:jc w:val="right"/>
              <w:ind w:right="60"/>
              <w:spacing w:after="0" w:line="148"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7"/>
        </w:trPr>
        <w:tc>
          <w:tcPr>
            <w:tcW w:w="94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3"/>
          </w:tcPr>
          <w:p>
            <w:pPr>
              <w:jc w:val="right"/>
              <w:ind w:right="600"/>
              <w:spacing w:after="0" w:line="157" w:lineRule="exact"/>
              <w:rPr>
                <w:sz w:val="20"/>
                <w:szCs w:val="20"/>
                <w:color w:val="auto"/>
              </w:rPr>
            </w:pPr>
            <w:r>
              <w:rPr>
                <w:rFonts w:ascii="Arial" w:cs="Arial" w:eastAsia="Arial" w:hAnsi="Arial"/>
                <w:sz w:val="14"/>
                <w:szCs w:val="14"/>
                <w:b w:val="1"/>
                <w:bCs w:val="1"/>
                <w:color w:val="auto"/>
                <w:w w:val="92"/>
              </w:rPr>
              <w:t>Outstanding(1)</w:t>
            </w:r>
          </w:p>
        </w:tc>
        <w:tc>
          <w:tcPr>
            <w:tcW w:w="1300" w:type="dxa"/>
            <w:vAlign w:val="bottom"/>
            <w:gridSpan w:val="3"/>
          </w:tcPr>
          <w:p>
            <w:pPr>
              <w:jc w:val="center"/>
              <w:ind w:right="600"/>
              <w:spacing w:after="0" w:line="157" w:lineRule="exact"/>
              <w:rPr>
                <w:sz w:val="20"/>
                <w:szCs w:val="20"/>
                <w:color w:val="auto"/>
              </w:rPr>
            </w:pPr>
            <w:r>
              <w:rPr>
                <w:rFonts w:ascii="Arial" w:cs="Arial" w:eastAsia="Arial" w:hAnsi="Arial"/>
                <w:sz w:val="14"/>
                <w:szCs w:val="14"/>
                <w:b w:val="1"/>
                <w:bCs w:val="1"/>
                <w:color w:val="auto"/>
                <w:w w:val="98"/>
              </w:rPr>
              <w:t>Per Unit(2)</w:t>
            </w:r>
          </w:p>
        </w:tc>
        <w:tc>
          <w:tcPr>
            <w:tcW w:w="7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Per Unit(3)</w:t>
            </w:r>
          </w:p>
        </w:tc>
        <w:tc>
          <w:tcPr>
            <w:tcW w:w="600" w:type="dxa"/>
            <w:vAlign w:val="bottom"/>
          </w:tcPr>
          <w:p>
            <w:pPr>
              <w:spacing w:after="0"/>
              <w:rPr>
                <w:sz w:val="15"/>
                <w:szCs w:val="15"/>
                <w:color w:val="auto"/>
              </w:rPr>
            </w:pPr>
          </w:p>
        </w:tc>
        <w:tc>
          <w:tcPr>
            <w:tcW w:w="900" w:type="dxa"/>
            <w:vAlign w:val="bottom"/>
            <w:gridSpan w:val="3"/>
          </w:tcPr>
          <w:p>
            <w:pPr>
              <w:jc w:val="right"/>
              <w:ind w:right="140"/>
              <w:spacing w:after="0" w:line="157" w:lineRule="exact"/>
              <w:rPr>
                <w:sz w:val="20"/>
                <w:szCs w:val="20"/>
                <w:color w:val="auto"/>
              </w:rPr>
            </w:pPr>
            <w:r>
              <w:rPr>
                <w:rFonts w:ascii="Arial" w:cs="Arial" w:eastAsia="Arial" w:hAnsi="Arial"/>
                <w:sz w:val="14"/>
                <w:szCs w:val="14"/>
                <w:b w:val="1"/>
                <w:bCs w:val="1"/>
                <w:color w:val="auto"/>
              </w:rPr>
              <w:t>Per Unit(4)</w:t>
            </w:r>
          </w:p>
        </w:tc>
        <w:tc>
          <w:tcPr>
            <w:tcW w:w="0" w:type="dxa"/>
            <w:vAlign w:val="bottom"/>
          </w:tcPr>
          <w:p>
            <w:pPr>
              <w:spacing w:after="0"/>
              <w:rPr>
                <w:sz w:val="1"/>
                <w:szCs w:val="1"/>
                <w:color w:val="auto"/>
              </w:rPr>
            </w:pPr>
          </w:p>
        </w:tc>
      </w:tr>
      <w:tr>
        <w:trPr>
          <w:trHeight w:val="188"/>
        </w:trPr>
        <w:tc>
          <w:tcPr>
            <w:tcW w:w="3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Revolving Credit Facility</w:t>
            </w:r>
          </w:p>
        </w:tc>
        <w:tc>
          <w:tcPr>
            <w:tcW w:w="1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84,000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208</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222,500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552</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126,000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421</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42,900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96,400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593</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245,600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1,225</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115,200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207,900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1,459</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264,452</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1,510</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2022 Unsecured Notes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371</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372</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501</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638</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923</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748</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430</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2022 Tranche C Notes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70</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129</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2023 Unsecured Notes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186</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319</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461</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374</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2024 Unsecured Notes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309</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309</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417</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531</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2026 Unsecured Notes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186</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319</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2027 Unsecured Notes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124</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124</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2027 Series F Unsecured Notes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2022 (through March 31, 2022)</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333</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2042 Unsecured Notes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859</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702</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2,294</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2,411</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571</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Secured Notes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645</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0660"/>
          </w:cols>
          <w:pgMar w:left="320" w:top="458" w:right="919" w:bottom="1440" w:gutter="0" w:footer="0" w:header="0"/>
        </w:sect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660"/>
          </w:cols>
          <w:pgMar w:left="320" w:top="458" w:right="9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3"/>
              </w:rPr>
              <w:t>Asset</w:t>
            </w: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Involuntary</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7"/>
              </w:rPr>
              <w:t>Total Amount</w:t>
            </w:r>
          </w:p>
        </w:tc>
        <w:tc>
          <w:tcPr>
            <w:tcW w:w="1280" w:type="dxa"/>
            <w:vAlign w:val="bottom"/>
            <w:gridSpan w:val="2"/>
            <w:vMerge w:val="continue"/>
          </w:tcPr>
          <w:p>
            <w:pPr>
              <w:spacing w:after="0"/>
              <w:rPr>
                <w:sz w:val="12"/>
                <w:szCs w:val="12"/>
                <w:color w:val="auto"/>
              </w:rPr>
            </w:pPr>
          </w:p>
        </w:tc>
        <w:tc>
          <w:tcPr>
            <w:tcW w:w="13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5"/>
              </w:rPr>
              <w:t>Liquidating</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8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90"/>
              </w:rPr>
              <w:t>Coverage</w:t>
            </w:r>
          </w:p>
        </w:tc>
        <w:tc>
          <w:tcPr>
            <w:tcW w:w="13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8"/>
              </w:rPr>
              <w:t>Preference</w:t>
            </w:r>
          </w:p>
        </w:tc>
        <w:tc>
          <w:tcPr>
            <w:tcW w:w="90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w w:val="94"/>
              </w:rPr>
              <w:t>Market Value</w:t>
            </w:r>
          </w:p>
        </w:tc>
        <w:tc>
          <w:tcPr>
            <w:tcW w:w="0" w:type="dxa"/>
            <w:vAlign w:val="bottom"/>
          </w:tcPr>
          <w:p>
            <w:pPr>
              <w:spacing w:after="0"/>
              <w:rPr>
                <w:sz w:val="1"/>
                <w:szCs w:val="1"/>
                <w:color w:val="auto"/>
              </w:rPr>
            </w:pPr>
          </w:p>
        </w:tc>
      </w:tr>
      <w:tr>
        <w:trPr>
          <w:trHeight w:val="177"/>
        </w:trPr>
        <w:tc>
          <w:tcPr>
            <w:tcW w:w="94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540" w:type="dxa"/>
            <w:vAlign w:val="bottom"/>
            <w:gridSpan w:val="2"/>
          </w:tcPr>
          <w:p>
            <w:pPr>
              <w:jc w:val="right"/>
              <w:ind w:right="600"/>
              <w:spacing w:after="0" w:line="157" w:lineRule="exact"/>
              <w:rPr>
                <w:sz w:val="20"/>
                <w:szCs w:val="20"/>
                <w:color w:val="auto"/>
              </w:rPr>
            </w:pPr>
            <w:r>
              <w:rPr>
                <w:rFonts w:ascii="Arial" w:cs="Arial" w:eastAsia="Arial" w:hAnsi="Arial"/>
                <w:sz w:val="14"/>
                <w:szCs w:val="14"/>
                <w:b w:val="1"/>
                <w:bCs w:val="1"/>
                <w:color w:val="auto"/>
                <w:w w:val="92"/>
              </w:rPr>
              <w:t>Outstanding(1)</w:t>
            </w:r>
          </w:p>
        </w:tc>
        <w:tc>
          <w:tcPr>
            <w:tcW w:w="128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w w:val="95"/>
              </w:rPr>
              <w:t>Per Unit(2)</w:t>
            </w:r>
          </w:p>
        </w:tc>
        <w:tc>
          <w:tcPr>
            <w:tcW w:w="1320" w:type="dxa"/>
            <w:vAlign w:val="bottom"/>
            <w:gridSpan w:val="2"/>
          </w:tcPr>
          <w:p>
            <w:pPr>
              <w:jc w:val="center"/>
              <w:ind w:right="600"/>
              <w:spacing w:after="0" w:line="157" w:lineRule="exact"/>
              <w:rPr>
                <w:sz w:val="20"/>
                <w:szCs w:val="20"/>
                <w:color w:val="auto"/>
              </w:rPr>
            </w:pPr>
            <w:r>
              <w:rPr>
                <w:rFonts w:ascii="Arial" w:cs="Arial" w:eastAsia="Arial" w:hAnsi="Arial"/>
                <w:sz w:val="14"/>
                <w:szCs w:val="14"/>
                <w:b w:val="1"/>
                <w:bCs w:val="1"/>
                <w:color w:val="auto"/>
                <w:w w:val="95"/>
              </w:rPr>
              <w:t>Per Unit(3)</w:t>
            </w:r>
          </w:p>
        </w:tc>
        <w:tc>
          <w:tcPr>
            <w:tcW w:w="900" w:type="dxa"/>
            <w:vAlign w:val="bottom"/>
            <w:gridSpan w:val="2"/>
          </w:tcPr>
          <w:p>
            <w:pPr>
              <w:jc w:val="right"/>
              <w:ind w:right="140"/>
              <w:spacing w:after="0" w:line="157" w:lineRule="exact"/>
              <w:rPr>
                <w:sz w:val="20"/>
                <w:szCs w:val="20"/>
                <w:color w:val="auto"/>
              </w:rPr>
            </w:pPr>
            <w:r>
              <w:rPr>
                <w:rFonts w:ascii="Arial" w:cs="Arial" w:eastAsia="Arial" w:hAnsi="Arial"/>
                <w:sz w:val="14"/>
                <w:szCs w:val="14"/>
                <w:b w:val="1"/>
                <w:bCs w:val="1"/>
                <w:color w:val="auto"/>
              </w:rPr>
              <w:t>Per Unit(4)</w:t>
            </w:r>
          </w:p>
        </w:tc>
        <w:tc>
          <w:tcPr>
            <w:tcW w:w="0" w:type="dxa"/>
            <w:vAlign w:val="bottom"/>
          </w:tcPr>
          <w:p>
            <w:pPr>
              <w:spacing w:after="0"/>
              <w:rPr>
                <w:sz w:val="1"/>
                <w:szCs w:val="1"/>
                <w:color w:val="auto"/>
              </w:rPr>
            </w:pPr>
          </w:p>
        </w:tc>
      </w:tr>
      <w:tr>
        <w:trPr>
          <w:trHeight w:val="202"/>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Fiscal 2015</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6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1,721</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1,808</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428</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Term Loans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247</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248</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75,000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250</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319</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308</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430</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1,147</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1,206</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285</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NEFPASS Facility</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2021</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128</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SSLP Facility</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53,785</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331</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Senior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2022 (through March 31, 2022)</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   815,000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  2,014</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2021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818,500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2,029</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677,000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2,259</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593,900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2,525</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476,185</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2,930</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541,600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2,702</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390,200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3,354</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432,900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3,039</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225,000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5,162</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5"/>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225,000</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5,425</w:t>
            </w:r>
          </w:p>
        </w:tc>
        <w:tc>
          <w:tcPr>
            <w:tcW w:w="13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489,452</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2,794</w:t>
            </w:r>
          </w:p>
        </w:tc>
        <w:tc>
          <w:tcPr>
            <w:tcW w:w="13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76200</wp:posOffset>
            </wp:positionV>
            <wp:extent cx="7677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39" w:lineRule="exact"/>
        <w:rPr>
          <w:sz w:val="20"/>
          <w:szCs w:val="20"/>
          <w:color w:val="auto"/>
        </w:rPr>
      </w:pPr>
    </w:p>
    <w:p>
      <w:pPr>
        <w:ind w:left="580" w:hanging="43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(in thousands) at the end of the period presented.</w:t>
      </w:r>
    </w:p>
    <w:p>
      <w:pPr>
        <w:spacing w:after="0" w:line="22" w:lineRule="exact"/>
        <w:rPr>
          <w:rFonts w:ascii="Arial" w:cs="Arial" w:eastAsia="Arial" w:hAnsi="Arial"/>
          <w:sz w:val="18"/>
          <w:szCs w:val="18"/>
          <w:color w:val="auto"/>
        </w:rPr>
      </w:pPr>
    </w:p>
    <w:p>
      <w:pPr>
        <w:ind w:left="580" w:hanging="438"/>
        <w:spacing w:after="0" w:line="24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all senior securities representing indebtedness. This asset coverage ratio is multiplied by one thousand to determine the Asset Coverage Per Unit. In order to determine the specific Asset Coverage Per Unit for each class of debt, the total Asset Coverage Per Unit is allocated based on the amount outstanding in each class of debt at the end of the period. As of March 31, 2022, asset coverage was 201.4%.</w:t>
      </w:r>
    </w:p>
    <w:p>
      <w:pPr>
        <w:spacing w:after="0" w:line="1" w:lineRule="exact"/>
        <w:rPr>
          <w:rFonts w:ascii="Arial" w:cs="Arial" w:eastAsia="Arial" w:hAnsi="Arial"/>
          <w:sz w:val="18"/>
          <w:szCs w:val="18"/>
          <w:color w:val="auto"/>
        </w:rPr>
      </w:pPr>
    </w:p>
    <w:p>
      <w:pPr>
        <w:ind w:left="580" w:right="300" w:hanging="438"/>
        <w:spacing w:after="0" w:line="24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to which such class of senior security would be entitled upon the involuntary liquidation of the issuer in preference to any security junior to it.</w:t>
      </w:r>
    </w:p>
    <w:p>
      <w:pPr>
        <w:ind w:left="580" w:right="100" w:hanging="438"/>
        <w:spacing w:after="0" w:line="252"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applicable except for the 2042 Unsecured Notes which were publicly traded. The Average Market Value Per Unit is calculated by taking the daily average closing price during the period and dividing it by twenty-five dollars per share and multiplying the result by one thousand to determine a unit price per thousand consistent with Asset Coverage Per Unit. The average market value for the fiscal 2016, 2015, 2014, 2013 and 2012 periods was $100,175, $98,196, $94,301, $93,392, and $92,302, respectively.</w:t>
      </w:r>
    </w:p>
    <w:p>
      <w:pPr>
        <w:spacing w:after="0" w:line="29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5" w:lineRule="exact"/>
        <w:rPr>
          <w:sz w:val="20"/>
          <w:szCs w:val="20"/>
          <w:color w:val="auto"/>
        </w:rPr>
      </w:pPr>
    </w:p>
    <w:p>
      <w:pPr>
        <w:ind w:left="140" w:right="160" w:firstLine="438"/>
        <w:spacing w:after="0" w:line="255" w:lineRule="auto"/>
        <w:rPr>
          <w:sz w:val="20"/>
          <w:szCs w:val="20"/>
          <w:color w:val="auto"/>
        </w:rPr>
      </w:pPr>
      <w:r>
        <w:rPr>
          <w:rFonts w:ascii="Arial" w:cs="Arial" w:eastAsia="Arial" w:hAnsi="Arial"/>
          <w:sz w:val="18"/>
          <w:szCs w:val="18"/>
          <w:color w:val="auto"/>
        </w:rPr>
        <w:t>From time-to-time and in the normal course of business, the Company may make unfunded capital commitments to current or prospective portfolio companies. Typically, the Company may agree to provide delayed-draw term loans or, to a lesser extent, revolving loan or equity commitments. These unfunded capital commitments always take into account the Company’s liquidity and cash available for investment, portfolio and issuer diversification, and other considerations. Accordingly, the Company had the following unfunded capital commitments at March 31, 2022 and December 31, 2021, respectively:</w:t>
      </w:r>
    </w:p>
    <w:p>
      <w:pPr>
        <w:sectPr>
          <w:pgSz w:w="11900" w:h="16838" w:orient="portrait"/>
          <w:cols w:equalWidth="0" w:num="1">
            <w:col w:w="11100"/>
          </w:cols>
          <w:pgMar w:left="320" w:top="458" w:right="479" w:bottom="1440" w:gutter="0" w:footer="0" w:header="0"/>
        </w:sectPr>
      </w:pP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58" w:right="47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0"/>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95"/>
        </w:trPr>
        <w:tc>
          <w:tcPr>
            <w:tcW w:w="624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i w:val="1"/>
                <w:iCs w:val="1"/>
                <w:color w:val="auto"/>
              </w:rPr>
              <w:t>(in millions)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SLR Credit Solutions*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44.3</w:t>
            </w: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Arcutis Biotherapeutics,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Glooko,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BridgeBio Pharma,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CC SAG Holdings Corp. (Spectrum Automotive)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580"/>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Inszone Mid,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Vapotherm,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Ardelyx,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One Touch Direct,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Ivy Fertility Services,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SOC Telemed,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Maurices, Incorporated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NAC Holdings Corporation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RQM+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Atria Wealth Solutions,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Rezolute,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Basic Fun,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Kid Distro Holdings,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MMIT Holdings,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Foundation Consumer Brands, LLC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SunMed Group Holdings,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SLR Equipment Finance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Pinnacle Treatment Centers, Inc.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American Teleconferencing Services, Ltd.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r>
      <w:tr>
        <w:trPr>
          <w:trHeight w:val="215"/>
        </w:trPr>
        <w:tc>
          <w:tcPr>
            <w:tcW w:w="6240" w:type="dxa"/>
            <w:vAlign w:val="bottom"/>
          </w:tcPr>
          <w:p>
            <w:pPr>
              <w:ind w:left="360"/>
              <w:spacing w:after="0"/>
              <w:rPr>
                <w:sz w:val="20"/>
                <w:szCs w:val="20"/>
                <w:color w:val="auto"/>
              </w:rPr>
            </w:pPr>
            <w:r>
              <w:rPr>
                <w:rFonts w:ascii="Arial" w:cs="Arial" w:eastAsia="Arial" w:hAnsi="Arial"/>
                <w:sz w:val="18"/>
                <w:szCs w:val="18"/>
                <w:color w:val="auto"/>
              </w:rPr>
              <w:t>Ultimate Baked Goods Midco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r>
      <w:tr>
        <w:trPr>
          <w:trHeight w:val="215"/>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Neuronetics, Inc.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Commitments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40" w:type="dxa"/>
            <w:vAlign w:val="bottom"/>
          </w:tcPr>
          <w:p>
            <w:pPr>
              <w:spacing w:after="0"/>
              <w:rPr>
                <w:sz w:val="19"/>
                <w:szCs w:val="19"/>
                <w:color w:val="auto"/>
              </w:rPr>
            </w:pPr>
          </w:p>
        </w:tc>
      </w:tr>
    </w:tbl>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The Company controls the funding of the SLR Credit Solutions commitment and may cancel it at its discretion.</w:t>
      </w:r>
    </w:p>
    <w:p>
      <w:pPr>
        <w:spacing w:after="0" w:line="223" w:lineRule="exact"/>
        <w:rPr>
          <w:sz w:val="20"/>
          <w:szCs w:val="20"/>
          <w:color w:val="auto"/>
        </w:rPr>
      </w:pPr>
    </w:p>
    <w:p>
      <w:pPr>
        <w:ind w:left="140" w:firstLine="438"/>
        <w:spacing w:after="0" w:line="272" w:lineRule="auto"/>
        <w:rPr>
          <w:sz w:val="20"/>
          <w:szCs w:val="20"/>
          <w:color w:val="auto"/>
        </w:rPr>
      </w:pPr>
      <w:r>
        <w:rPr>
          <w:rFonts w:ascii="Arial" w:cs="Arial" w:eastAsia="Arial" w:hAnsi="Arial"/>
          <w:sz w:val="17"/>
          <w:szCs w:val="17"/>
          <w:color w:val="auto"/>
        </w:rPr>
        <w:t>The credit agreements of the above loan commitments contain customary lending provisions and/or are subject to the portfolio company’s achievement of certain milestones that allow relief to the Company from funding obligations for previously made commitments in instances where the underlying company experiences materially adverse events that affect the financial condition or business outlook for the company. Since these commitments may expire without being drawn upon, unfunded commitments do not necessarily represent future cash requirements or future earning assets for the Company. As of March 31, 2022 and December 31, 2021, the Company had sufficient cash available and/or liquid securities available to fund its commitments and had reviewed them for any appropriate fair value adjustment.</w:t>
      </w:r>
    </w:p>
    <w:p>
      <w:pPr>
        <w:spacing w:after="0" w:line="176" w:lineRule="exact"/>
        <w:rPr>
          <w:sz w:val="20"/>
          <w:szCs w:val="20"/>
          <w:color w:val="auto"/>
        </w:rPr>
      </w:pPr>
    </w:p>
    <w:p>
      <w:pPr>
        <w:ind w:left="140" w:right="80" w:firstLine="438"/>
        <w:spacing w:after="0" w:line="255" w:lineRule="auto"/>
        <w:rPr>
          <w:sz w:val="20"/>
          <w:szCs w:val="20"/>
          <w:color w:val="auto"/>
        </w:rPr>
      </w:pPr>
      <w:r>
        <w:rPr>
          <w:rFonts w:ascii="Arial" w:cs="Arial" w:eastAsia="Arial" w:hAnsi="Arial"/>
          <w:sz w:val="18"/>
          <w:szCs w:val="18"/>
          <w:color w:val="auto"/>
        </w:rPr>
        <w:t>In the normal course of its business, we invest or trade in various financial instruments and may enter into various investment activities with off-balance sheet risk, which may include forward foreign currency contracts. Generally, these financial instruments represent future commitments to purchase or sell other financial instruments at specific terms at future dates. These financial instruments contain varying degrees of off-balance sheet risk whereby changes in the market value or our satisfaction of the obligations may exceed the amount recognized in our Consolidated Statements of Assets and Liabilities.</w:t>
      </w:r>
    </w:p>
    <w:p>
      <w:pPr>
        <w:spacing w:after="0" w:line="1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320" w:top="458" w:right="6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reflects the cash distributions per share on our common stock for the two most recent fiscal years and the current fiscal year to</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w:t>
      </w:r>
    </w:p>
    <w:p>
      <w:pPr>
        <w:spacing w:after="0" w:line="227"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Date Declared</w:t>
            </w:r>
          </w:p>
        </w:tc>
        <w:tc>
          <w:tcPr>
            <w:tcW w:w="1800" w:type="dxa"/>
            <w:vAlign w:val="bottom"/>
            <w:gridSpan w:val="2"/>
          </w:tcPr>
          <w:p>
            <w:pPr>
              <w:ind w:left="340"/>
              <w:spacing w:after="0"/>
              <w:rPr>
                <w:sz w:val="20"/>
                <w:szCs w:val="20"/>
                <w:color w:val="auto"/>
              </w:rPr>
            </w:pPr>
            <w:r>
              <w:rPr>
                <w:rFonts w:ascii="Arial" w:cs="Arial" w:eastAsia="Arial" w:hAnsi="Arial"/>
                <w:sz w:val="14"/>
                <w:szCs w:val="14"/>
                <w:b w:val="1"/>
                <w:bCs w:val="1"/>
                <w:color w:val="auto"/>
              </w:rPr>
              <w:t>Record Date</w:t>
            </w:r>
          </w:p>
        </w:tc>
        <w:tc>
          <w:tcPr>
            <w:tcW w:w="1240" w:type="dxa"/>
            <w:vAlign w:val="bottom"/>
          </w:tcPr>
          <w:p>
            <w:pPr>
              <w:jc w:val="right"/>
              <w:ind w:right="112"/>
              <w:spacing w:after="0"/>
              <w:rPr>
                <w:sz w:val="20"/>
                <w:szCs w:val="20"/>
                <w:color w:val="auto"/>
              </w:rPr>
            </w:pPr>
            <w:r>
              <w:rPr>
                <w:rFonts w:ascii="Arial" w:cs="Arial" w:eastAsia="Arial" w:hAnsi="Arial"/>
                <w:sz w:val="14"/>
                <w:szCs w:val="14"/>
                <w:b w:val="1"/>
                <w:bCs w:val="1"/>
                <w:color w:val="auto"/>
              </w:rPr>
              <w:t>Payment Date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1"/>
              </w:rPr>
              <w:t>Fiscal 2022</w:t>
            </w:r>
          </w:p>
        </w:tc>
        <w:tc>
          <w:tcPr>
            <w:tcW w:w="416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May 3, 2022</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May 19, 2022</w:t>
            </w:r>
          </w:p>
        </w:tc>
        <w:tc>
          <w:tcPr>
            <w:tcW w:w="1240" w:type="dxa"/>
            <w:vAlign w:val="bottom"/>
          </w:tcPr>
          <w:p>
            <w:pPr>
              <w:jc w:val="right"/>
              <w:spacing w:after="0"/>
              <w:rPr>
                <w:sz w:val="20"/>
                <w:szCs w:val="20"/>
                <w:color w:val="auto"/>
              </w:rPr>
            </w:pPr>
            <w:r>
              <w:rPr>
                <w:rFonts w:ascii="Arial" w:cs="Arial" w:eastAsia="Arial" w:hAnsi="Arial"/>
                <w:sz w:val="18"/>
                <w:szCs w:val="18"/>
                <w:color w:val="auto"/>
              </w:rPr>
              <w:t>June 2, 2022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0.136667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 4, 2022</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April 21, 2022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3, 2022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0.136667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March 1, 2022</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18, 2022</w:t>
            </w:r>
          </w:p>
        </w:tc>
        <w:tc>
          <w:tcPr>
            <w:tcW w:w="1240" w:type="dxa"/>
            <w:vAlign w:val="bottom"/>
          </w:tcPr>
          <w:p>
            <w:pPr>
              <w:jc w:val="right"/>
              <w:spacing w:after="0"/>
              <w:rPr>
                <w:sz w:val="20"/>
                <w:szCs w:val="20"/>
                <w:color w:val="auto"/>
              </w:rPr>
            </w:pPr>
            <w:r>
              <w:rPr>
                <w:rFonts w:ascii="Arial" w:cs="Arial" w:eastAsia="Arial" w:hAnsi="Arial"/>
                <w:sz w:val="18"/>
                <w:szCs w:val="18"/>
                <w:color w:val="auto"/>
              </w:rPr>
              <w:t>April 1, 2022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2022</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0.683334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Fiscal 2021</w:t>
            </w: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November 3, 2021</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December 16,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January 5, 2022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August 3, 2021</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September 23, 2021</w:t>
            </w:r>
          </w:p>
        </w:tc>
        <w:tc>
          <w:tcPr>
            <w:tcW w:w="1240" w:type="dxa"/>
            <w:vAlign w:val="bottom"/>
          </w:tcPr>
          <w:p>
            <w:pPr>
              <w:jc w:val="right"/>
              <w:spacing w:after="0"/>
              <w:rPr>
                <w:sz w:val="20"/>
                <w:szCs w:val="20"/>
                <w:color w:val="auto"/>
              </w:rPr>
            </w:pPr>
            <w:r>
              <w:rPr>
                <w:rFonts w:ascii="Arial" w:cs="Arial" w:eastAsia="Arial" w:hAnsi="Arial"/>
                <w:sz w:val="18"/>
                <w:szCs w:val="18"/>
                <w:color w:val="auto"/>
                <w:w w:val="92"/>
              </w:rPr>
              <w:t>October 5, 2021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May 5, 2021</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June 23, 2021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 2021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February 24, 2021</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18, 2021</w:t>
            </w:r>
          </w:p>
        </w:tc>
        <w:tc>
          <w:tcPr>
            <w:tcW w:w="1240" w:type="dxa"/>
            <w:vAlign w:val="bottom"/>
          </w:tcPr>
          <w:p>
            <w:pPr>
              <w:jc w:val="right"/>
              <w:spacing w:after="0"/>
              <w:rPr>
                <w:sz w:val="20"/>
                <w:szCs w:val="20"/>
                <w:color w:val="auto"/>
              </w:rPr>
            </w:pPr>
            <w:r>
              <w:rPr>
                <w:rFonts w:ascii="Arial" w:cs="Arial" w:eastAsia="Arial" w:hAnsi="Arial"/>
                <w:sz w:val="18"/>
                <w:szCs w:val="18"/>
                <w:color w:val="auto"/>
              </w:rPr>
              <w:t>April 2, 2021</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2021</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Fiscal 2020</w:t>
            </w: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3"/>
            <w:vMerge w:val="continue"/>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November 5, 2020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December 17,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January 5, 2021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August 4, 2020</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September 17, 2020</w:t>
            </w:r>
          </w:p>
        </w:tc>
        <w:tc>
          <w:tcPr>
            <w:tcW w:w="1240" w:type="dxa"/>
            <w:vAlign w:val="bottom"/>
          </w:tcPr>
          <w:p>
            <w:pPr>
              <w:jc w:val="right"/>
              <w:spacing w:after="0"/>
              <w:rPr>
                <w:sz w:val="20"/>
                <w:szCs w:val="20"/>
                <w:color w:val="auto"/>
              </w:rPr>
            </w:pPr>
            <w:r>
              <w:rPr>
                <w:rFonts w:ascii="Arial" w:cs="Arial" w:eastAsia="Arial" w:hAnsi="Arial"/>
                <w:sz w:val="18"/>
                <w:szCs w:val="18"/>
                <w:color w:val="auto"/>
                <w:w w:val="92"/>
              </w:rPr>
              <w:t>October 2, 2020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May 7, 2020</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June 18, 2020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 2020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February 20, 2020</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March 19, 2020</w:t>
            </w:r>
          </w:p>
        </w:tc>
        <w:tc>
          <w:tcPr>
            <w:tcW w:w="1240" w:type="dxa"/>
            <w:vAlign w:val="bottom"/>
          </w:tcPr>
          <w:p>
            <w:pPr>
              <w:jc w:val="right"/>
              <w:spacing w:after="0"/>
              <w:rPr>
                <w:sz w:val="20"/>
                <w:szCs w:val="20"/>
                <w:color w:val="auto"/>
              </w:rPr>
            </w:pPr>
            <w:r>
              <w:rPr>
                <w:rFonts w:ascii="Arial" w:cs="Arial" w:eastAsia="Arial" w:hAnsi="Arial"/>
                <w:sz w:val="18"/>
                <w:szCs w:val="18"/>
                <w:color w:val="auto"/>
              </w:rPr>
              <w:t>April 3, 2020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2020</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140" w:right="800" w:firstLine="438"/>
        <w:spacing w:after="0" w:line="284" w:lineRule="auto"/>
        <w:rPr>
          <w:sz w:val="20"/>
          <w:szCs w:val="20"/>
          <w:color w:val="auto"/>
        </w:rPr>
      </w:pPr>
      <w:r>
        <w:rPr>
          <w:rFonts w:ascii="Arial" w:cs="Arial" w:eastAsia="Arial" w:hAnsi="Arial"/>
          <w:sz w:val="17"/>
          <w:szCs w:val="17"/>
          <w:color w:val="auto"/>
        </w:rPr>
        <w:t>Tax characteristics of all distributions will be reported to stockholders on Form 1099 after the end of the calendar year. Future quarterly distributions, if any, will be determined by the Board. We expect that our distributions to stockholders will generally be from accumulated net investment income, from net realized capital gains or non-taxable return of capital, if any, as applicable.</w:t>
      </w:r>
    </w:p>
    <w:p>
      <w:pPr>
        <w:spacing w:after="0" w:line="166" w:lineRule="exact"/>
        <w:rPr>
          <w:sz w:val="20"/>
          <w:szCs w:val="20"/>
          <w:color w:val="auto"/>
        </w:rPr>
      </w:pPr>
    </w:p>
    <w:p>
      <w:pPr>
        <w:ind w:left="140" w:right="100" w:firstLine="438"/>
        <w:spacing w:after="0" w:line="255" w:lineRule="auto"/>
        <w:rPr>
          <w:sz w:val="20"/>
          <w:szCs w:val="20"/>
          <w:color w:val="auto"/>
        </w:rPr>
      </w:pPr>
      <w:r>
        <w:rPr>
          <w:rFonts w:ascii="Arial" w:cs="Arial" w:eastAsia="Arial" w:hAnsi="Arial"/>
          <w:sz w:val="18"/>
          <w:szCs w:val="18"/>
          <w:color w:val="auto"/>
        </w:rPr>
        <w:t>We have elected to be taxed as a RIC under Subchapter M of the Code. To maintain our RIC tax treatment, we must distribute at least 90% of our ordinary income and realized net short-term capital gains in excess of realized net long-term capital losses, if any, out of the assets legally available for distribution. In addition, although we currently intend to distribute realized net capital gains (</w:t>
      </w:r>
      <w:r>
        <w:rPr>
          <w:rFonts w:ascii="Arial" w:cs="Arial" w:eastAsia="Arial" w:hAnsi="Arial"/>
          <w:sz w:val="18"/>
          <w:szCs w:val="18"/>
          <w:i w:val="1"/>
          <w:iCs w:val="1"/>
          <w:color w:val="auto"/>
        </w:rPr>
        <w:t>i.e.</w:t>
      </w:r>
      <w:r>
        <w:rPr>
          <w:rFonts w:ascii="Arial" w:cs="Arial" w:eastAsia="Arial" w:hAnsi="Arial"/>
          <w:sz w:val="18"/>
          <w:szCs w:val="18"/>
          <w:color w:val="auto"/>
        </w:rPr>
        <w:t>, net long-term capital gains in excess of short-term capital losses), if any, at least annually, out of the assets legally available for such distributions, we may in the future decide to retain such capital gains for investment.</w:t>
      </w:r>
    </w:p>
    <w:p>
      <w:pPr>
        <w:spacing w:after="0" w:line="190" w:lineRule="exact"/>
        <w:rPr>
          <w:sz w:val="20"/>
          <w:szCs w:val="20"/>
          <w:color w:val="auto"/>
        </w:rPr>
      </w:pPr>
    </w:p>
    <w:p>
      <w:pPr>
        <w:ind w:left="140" w:right="260" w:firstLine="438"/>
        <w:spacing w:after="0" w:line="262"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2" w:lineRule="exact"/>
        <w:rPr>
          <w:sz w:val="20"/>
          <w:szCs w:val="20"/>
          <w:color w:val="auto"/>
        </w:rPr>
      </w:pPr>
    </w:p>
    <w:p>
      <w:pPr>
        <w:ind w:left="140" w:firstLine="438"/>
        <w:spacing w:after="0" w:line="269"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due to the asset coverage test applicable to us as a business development company, we may in the future be limited in our ability to make distributions. Also, the Credit Facility may limit our ability to declare distributions if we default under certain provisions. If we do not distribute a certain percentage of our income annually, we will suffer adverse tax consequences, including possible loss of the tax benefits available to us as a regulated investment company. In addition, in accordance with GAAP and tax regulations, we include in income certain amounts that we have not yet received in cash, such as contractual payment-in-kind income, which represents contractual income added to the loan balance that becomes due at the end of the loan term, or the accrual of original issue or market discount. Since we may recognize income before or without receiving cash representing such income, we may have difficulty meeting the requirement to distribute at least 90% of our investment company taxable income to obtain tax benefits as a regulated investment company.</w:t>
      </w:r>
    </w:p>
    <w:p>
      <w:pPr>
        <w:spacing w:after="0" w:line="178" w:lineRule="exact"/>
        <w:rPr>
          <w:sz w:val="20"/>
          <w:szCs w:val="20"/>
          <w:color w:val="auto"/>
        </w:rPr>
      </w:pPr>
    </w:p>
    <w:p>
      <w:pPr>
        <w:ind w:left="140" w:right="480" w:firstLine="438"/>
        <w:spacing w:after="0" w:line="275" w:lineRule="auto"/>
        <w:rPr>
          <w:sz w:val="20"/>
          <w:szCs w:val="20"/>
          <w:color w:val="auto"/>
        </w:rPr>
      </w:pPr>
      <w:r>
        <w:rPr>
          <w:rFonts w:ascii="Arial" w:cs="Arial" w:eastAsia="Arial" w:hAnsi="Arial"/>
          <w:sz w:val="18"/>
          <w:szCs w:val="18"/>
          <w:color w:val="auto"/>
        </w:rPr>
        <w:t>With respect to the distributions to stockholders, income from origination, structuring, closing and certain other upfront fees associated with investments in portfolio companies are treated as taxable income and accordingly, distributed to stockholders.</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Related Parties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29" w:lineRule="exact"/>
        <w:rPr>
          <w:sz w:val="20"/>
          <w:szCs w:val="20"/>
          <w:color w:val="auto"/>
        </w:rPr>
      </w:pPr>
    </w:p>
    <w:p>
      <w:pPr>
        <w:ind w:left="1100" w:right="40" w:hanging="421"/>
        <w:spacing w:after="0" w:line="277" w:lineRule="auto"/>
        <w:tabs>
          <w:tab w:leader="none" w:pos="11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have entered into the Advisory Agreement with the Investment Adviser. Mr. Gross, our Chairman, Co-Chief Executive Officer and President and Mr. Spohler, our Co-Chief Executive Officer, Chief Operating Officer and board member, are managing members and senior investment professionals of, and have financial and controlling interests in, the Investment Adviser. In addition, Mr. Peteka, our Chief Financial Officer, Treasurer and Secretary serves as the Chief Financial Officer for the Investment Adviser.</w:t>
      </w:r>
    </w:p>
    <w:p>
      <w:pPr>
        <w:spacing w:after="0" w:line="78" w:lineRule="exact"/>
        <w:rPr>
          <w:rFonts w:ascii="Arial" w:cs="Arial" w:eastAsia="Arial" w:hAnsi="Arial"/>
          <w:sz w:val="17"/>
          <w:szCs w:val="17"/>
          <w:color w:val="auto"/>
        </w:rPr>
      </w:pPr>
    </w:p>
    <w:p>
      <w:pPr>
        <w:ind w:left="1100" w:right="60" w:hanging="421"/>
        <w:spacing w:after="0" w:line="300" w:lineRule="auto"/>
        <w:tabs>
          <w:tab w:leader="none" w:pos="11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Administrator provides us with the office facilities and administrative services necessary to conduct day-to-day operations pursuant to our Administration Agreement. We reimburse the Administrator for the allocable portion of overhead and other expenses incurred by it in performing its obligations under the Administration Agreement, including rent, the fees and expenses associated with performing compliance functions, and the compensation of our chief compliance officer, our chief financial officer and their respective staffs.</w:t>
      </w:r>
    </w:p>
    <w:p>
      <w:pPr>
        <w:spacing w:after="0" w:line="60" w:lineRule="exact"/>
        <w:rPr>
          <w:rFonts w:ascii="Arial" w:cs="Arial" w:eastAsia="Arial" w:hAnsi="Arial"/>
          <w:sz w:val="16"/>
          <w:szCs w:val="16"/>
          <w:color w:val="auto"/>
        </w:rPr>
      </w:pPr>
    </w:p>
    <w:p>
      <w:pPr>
        <w:ind w:left="1100" w:right="660" w:hanging="421"/>
        <w:spacing w:after="0" w:line="275"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entered into a license agreement with the Investment Adviser, pursuant to which the Investment Adviser has granted us a non-exclusive, royalty-free license to use the licensed marks “SOLAR” and “SLR”.</w:t>
      </w:r>
    </w:p>
    <w:p>
      <w:pPr>
        <w:sectPr>
          <w:pgSz w:w="11900" w:h="16838" w:orient="portrait"/>
          <w:cols w:equalWidth="0" w:num="1">
            <w:col w:w="11100"/>
          </w:cols>
          <w:pgMar w:left="320" w:top="458" w:right="479" w:bottom="741" w:gutter="0" w:footer="0" w:header="0"/>
        </w:sectPr>
      </w:pP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00"/>
          </w:cols>
          <w:pgMar w:left="320" w:top="458" w:right="479" w:bottom="741"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right="80" w:firstLine="438"/>
        <w:spacing w:after="0" w:line="282" w:lineRule="auto"/>
        <w:rPr>
          <w:sz w:val="20"/>
          <w:szCs w:val="20"/>
          <w:color w:val="auto"/>
        </w:rPr>
      </w:pPr>
      <w:r>
        <w:rPr>
          <w:rFonts w:ascii="Arial" w:cs="Arial" w:eastAsia="Arial" w:hAnsi="Arial"/>
          <w:sz w:val="16"/>
          <w:szCs w:val="16"/>
          <w:color w:val="auto"/>
        </w:rPr>
        <w:t>The Investment Adviser may also manage other funds in the future that may have investment mandates that are similar, in whole and in part, with ours. For example, the Investment Adviser presently serves as investment adviser to SCP Private Credit Income BDC LLC, an unlisted BDC that focuses on investing primarily in senior secured loans, including non-traditional asset-based loans and first lien loans and SLR HC BDC LLC, an unlisted BDC whose principal focus is to invest directly and indirectly in senior secured loans and other debt instruments typically to middle market companies within the healthcare industry. In addition, Michael S. Gross, our Chairman, Co-Chief Executive Officer and President, Bruce Spohler, our Co-Chief Executive Officer and Chief Operating Officer, and Richard L. Peteka, our Chief Financial Officer, serve in similar capacities for SCP Private Credit Income BDC LLC and SLR HC BDC LLC. The Investment Adviser and certain investment advisory affiliates may determine that an investment is appropriate for us and for one or more of those other funds. In such event, depending on the availability of such investment and other appropriate factors, the Investment Adviser or its affiliates may determine that we should invest side-by-side with one or more other funds. Any such investments will be made only to the extent permitted by applicable law and interpretive positions of the SEC and its staff, and consistent with the Investment Adviser’s allocation procedures. On June 13, 2017, the Adviser received an exemptive order that permits the Company to participate in</w:t>
      </w:r>
    </w:p>
    <w:p>
      <w:pPr>
        <w:spacing w:after="0" w:line="1" w:lineRule="exact"/>
        <w:rPr>
          <w:sz w:val="20"/>
          <w:szCs w:val="20"/>
          <w:color w:val="auto"/>
        </w:rPr>
      </w:pPr>
    </w:p>
    <w:p>
      <w:pPr>
        <w:ind w:left="140"/>
        <w:spacing w:after="0" w:line="287" w:lineRule="auto"/>
        <w:rPr>
          <w:sz w:val="20"/>
          <w:szCs w:val="20"/>
          <w:color w:val="auto"/>
        </w:rPr>
      </w:pPr>
      <w:r>
        <w:rPr>
          <w:rFonts w:ascii="Arial" w:cs="Arial" w:eastAsia="Arial" w:hAnsi="Arial"/>
          <w:sz w:val="16"/>
          <w:szCs w:val="16"/>
          <w:color w:val="auto"/>
        </w:rPr>
        <w:t>negotiated co-investment transactions with certain affiliates, in a manner consistent with the Company’s investment objective, positions, policies, strategies and restrictions as well as regulatory requirements and other pertinent factors, and pursuant to various conditions (the “Order”). If the Company is unable to rely on the Order for a particular opportunity, such opportunity will be allocated first to the entity whose investment strategy is the most consistent with the opportunity being allocated, and second, if the terms of the opportunity are consistent with more than one entity’s investment strategy, on an alternating basis. Although the Adviser’s investment professionals will endeavor to allocate investment opportunities in a fair and equitable manner, the Company and its stockholders could be adversely affected to the extent investment opportunities are allocated among us and other investment vehicles managed or sponsored by, or affiliated with, our executive officers, directors and members of the Adviser.</w:t>
      </w:r>
    </w:p>
    <w:p>
      <w:pPr>
        <w:spacing w:after="0" w:line="165" w:lineRule="exact"/>
        <w:rPr>
          <w:sz w:val="20"/>
          <w:szCs w:val="20"/>
          <w:color w:val="auto"/>
        </w:rPr>
      </w:pPr>
    </w:p>
    <w:p>
      <w:pPr>
        <w:ind w:left="140" w:right="100" w:firstLine="438"/>
        <w:spacing w:after="0" w:line="258" w:lineRule="auto"/>
        <w:rPr>
          <w:sz w:val="20"/>
          <w:szCs w:val="20"/>
          <w:color w:val="auto"/>
        </w:rPr>
      </w:pPr>
      <w:r>
        <w:rPr>
          <w:rFonts w:ascii="Arial" w:cs="Arial" w:eastAsia="Arial" w:hAnsi="Arial"/>
          <w:sz w:val="18"/>
          <w:szCs w:val="18"/>
          <w:color w:val="auto"/>
        </w:rPr>
        <w:t>Related party transactions may occur among us, SLR Credit, Equipment Operating Leases LLC, KBH, Loyer Capital LLC, SLR Business Credit, SLR Healthcare ABL and SLR Equipment. These transactions may occur in the normal course of business. No administrative or other fees are paid to the Investment Adviser by SLR Credit, Equipment Operating Leases LLC, KBH, Loyer Capital LLC, SLR Business Credit, SLR Healthcare ABL or SLR Equipment.</w:t>
      </w:r>
    </w:p>
    <w:p>
      <w:pPr>
        <w:spacing w:after="0" w:line="185" w:lineRule="exact"/>
        <w:rPr>
          <w:sz w:val="20"/>
          <w:szCs w:val="20"/>
          <w:color w:val="auto"/>
        </w:rPr>
      </w:pPr>
    </w:p>
    <w:p>
      <w:pPr>
        <w:ind w:left="140" w:right="120" w:firstLine="438"/>
        <w:spacing w:after="0" w:line="275" w:lineRule="auto"/>
        <w:rPr>
          <w:sz w:val="20"/>
          <w:szCs w:val="20"/>
          <w:color w:val="auto"/>
        </w:rPr>
      </w:pPr>
      <w:r>
        <w:rPr>
          <w:rFonts w:ascii="Arial" w:cs="Arial" w:eastAsia="Arial" w:hAnsi="Arial"/>
          <w:sz w:val="18"/>
          <w:szCs w:val="18"/>
          <w:color w:val="auto"/>
        </w:rPr>
        <w:t>In addition, we have adopted a formal code of ethics that governs the conduct of our officers and directors. Our officers and directors also remain subject to the duties imposed by both the 1940 Act and the Maryland General Corporation Law.</w:t>
      </w:r>
    </w:p>
    <w:p>
      <w:pPr>
        <w:spacing w:after="0" w:line="2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ind w:left="140" w:right="20" w:firstLine="438"/>
        <w:spacing w:after="0" w:line="283" w:lineRule="auto"/>
        <w:rPr>
          <w:sz w:val="20"/>
          <w:szCs w:val="20"/>
          <w:color w:val="auto"/>
        </w:rPr>
      </w:pPr>
      <w:r>
        <w:rPr>
          <w:rFonts w:ascii="Arial" w:cs="Arial" w:eastAsia="Arial" w:hAnsi="Arial"/>
          <w:sz w:val="16"/>
          <w:szCs w:val="16"/>
          <w:color w:val="auto"/>
        </w:rPr>
        <w:t>We are subject to financial market risks, including changes in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 Conversely, in a rising interest rate environment, such difference could potentially increase thereby increasing our net investment income. During the three months ended March 31, 2022, certain investments in our comprehensive investment portfolio had floating interest rates. These floating rate investments were primarily based on floating LIBOR and typically have durations of one to three months after which they reset to current market interest rates. Additionally, some of these investments have LIBOR floors. The Company also has revolving credit facilities that are generally based on floating LIBOR. Assuming no changes to our balance sheet as of March 31, 2022 and no new defaults by portfolio companies, a hypothetical one percent decrease in LIBOR on our comprehensive floating rate assets and liabilities would increase our net investment income by seven cents per average share over the next twelve months. Assuming no changes to our balance sheet as of March 31, 2022 and no new defaults by portfolio companies, a hypothetical one percent increase in LIBOR on our comprehensive floating rate assets and liabilities would increase our net investment income by approximately four cents per average share over the next twelve months. However, we may hedge against interest rate fluctuations from time-to-time by using standard hedging instruments such as futures, options, swaps and forward contracts subject to the requirements of the 1940 Act. While hedging activities may insulate us against adverse changes in interest rates, they may also limit our ability to participate in any benefits of certain changes in interest rates with respect to our portfolio of investments. At March 31, 2022, we have no interest rate hedging instruments outstanding on our balance sheet.</w:t>
      </w:r>
    </w:p>
    <w:p>
      <w:pPr>
        <w:spacing w:after="0" w:line="200" w:lineRule="exact"/>
        <w:rPr>
          <w:sz w:val="20"/>
          <w:szCs w:val="20"/>
          <w:color w:val="auto"/>
        </w:rPr>
      </w:pPr>
    </w:p>
    <w:p>
      <w:pPr>
        <w:spacing w:after="0" w:line="232" w:lineRule="exact"/>
        <w:rPr>
          <w:sz w:val="20"/>
          <w:szCs w:val="20"/>
          <w:color w:val="auto"/>
        </w:rPr>
      </w:pPr>
    </w:p>
    <w:tbl>
      <w:tblPr>
        <w:tblLayout w:type="fixed"/>
        <w:tblInd w:w="1460" w:type="dxa"/>
        <w:tblCellMar>
          <w:top w:w="0" w:type="dxa"/>
          <w:left w:w="0" w:type="dxa"/>
          <w:bottom w:w="0" w:type="dxa"/>
          <w:right w:w="0" w:type="dxa"/>
        </w:tblCellMar>
      </w:tblPr>
      <w:tr>
        <w:trPr>
          <w:trHeight w:val="215"/>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LIBOR</w:t>
            </w:r>
          </w:p>
        </w:tc>
        <w:tc>
          <w:tcPr>
            <w:tcW w:w="3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89"/>
              </w:rPr>
              <w:t>Increase in Net Investment Income Per Share Per Year</w:t>
            </w:r>
          </w:p>
        </w:tc>
        <w:tc>
          <w:tcPr>
            <w:tcW w:w="3560" w:type="dxa"/>
            <w:vAlign w:val="bottom"/>
          </w:tcPr>
          <w:p>
            <w:pPr>
              <w:jc w:val="right"/>
              <w:ind w:right="290"/>
              <w:spacing w:after="0"/>
              <w:rPr>
                <w:sz w:val="20"/>
                <w:szCs w:val="20"/>
                <w:color w:val="auto"/>
              </w:rPr>
            </w:pPr>
            <w:r>
              <w:rPr>
                <w:rFonts w:ascii="Arial" w:cs="Arial" w:eastAsia="Arial" w:hAnsi="Arial"/>
                <w:sz w:val="18"/>
                <w:szCs w:val="18"/>
                <w:color w:val="auto"/>
              </w:rPr>
              <w:t>0.07</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$0.04</w:t>
            </w:r>
          </w:p>
        </w:tc>
      </w:tr>
      <w:tr>
        <w:trPr>
          <w:trHeight w:val="348"/>
        </w:trPr>
        <w:tc>
          <w:tcPr>
            <w:tcW w:w="3980" w:type="dxa"/>
            <w:vAlign w:val="bottom"/>
          </w:tcPr>
          <w:p>
            <w:pPr>
              <w:spacing w:after="0"/>
              <w:rPr>
                <w:sz w:val="24"/>
                <w:szCs w:val="24"/>
                <w:color w:val="auto"/>
              </w:rPr>
            </w:pPr>
          </w:p>
        </w:tc>
        <w:tc>
          <w:tcPr>
            <w:tcW w:w="3560" w:type="dxa"/>
            <w:vAlign w:val="bottom"/>
          </w:tcPr>
          <w:p>
            <w:pPr>
              <w:jc w:val="right"/>
              <w:ind w:right="319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r>
    </w:tbl>
    <w:p>
      <w:pPr>
        <w:sectPr>
          <w:pgSz w:w="11900" w:h="16838" w:orient="portrait"/>
          <w:cols w:equalWidth="0" w:num="1">
            <w:col w:w="11100"/>
          </w:cols>
          <w:pgMar w:left="320" w:top="458"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right="220" w:firstLine="438"/>
        <w:spacing w:after="0" w:line="310" w:lineRule="auto"/>
        <w:rPr>
          <w:sz w:val="20"/>
          <w:szCs w:val="20"/>
          <w:color w:val="auto"/>
        </w:rPr>
      </w:pPr>
      <w:r>
        <w:rPr>
          <w:rFonts w:ascii="Arial" w:cs="Arial" w:eastAsia="Arial" w:hAnsi="Arial"/>
          <w:sz w:val="16"/>
          <w:szCs w:val="16"/>
          <w:color w:val="auto"/>
        </w:rPr>
        <w:t>We may also have exposure to foreign currencies through various investments. These investments are converted into U.S. dollars at the balance sheet date, exposing us to movements in foreign exchange rates. In order to reduce our exposure to fluctuations in foreign exchange rates, we may borrow from time-to-time in such currencies under our multi-currency revolving credit facility or enter into forward currency or similar contracts.</w:t>
      </w:r>
    </w:p>
    <w:p>
      <w:pPr>
        <w:spacing w:after="0" w:line="2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5" w:lineRule="exact"/>
        <w:rPr>
          <w:sz w:val="20"/>
          <w:szCs w:val="20"/>
          <w:color w:val="auto"/>
        </w:rPr>
      </w:pPr>
    </w:p>
    <w:p>
      <w:pPr>
        <w:ind w:left="140" w:right="40" w:firstLine="438"/>
        <w:spacing w:after="0" w:line="287" w:lineRule="auto"/>
        <w:rPr>
          <w:sz w:val="20"/>
          <w:szCs w:val="20"/>
          <w:color w:val="auto"/>
        </w:rPr>
      </w:pPr>
      <w:r>
        <w:rPr>
          <w:rFonts w:ascii="Arial" w:cs="Arial" w:eastAsia="Arial" w:hAnsi="Arial"/>
          <w:sz w:val="16"/>
          <w:szCs w:val="16"/>
          <w:color w:val="auto"/>
        </w:rPr>
        <w:t>As of March 31, 2022 (the end of the period covered by this report), we, including our Co-Chief Executive Officers and Chief Financial Officer, evaluated the effectiveness of the design and operation of our disclosure controls and procedures (as defined in Rule 13a-15(e) of the 1934 Act). Based on that evaluation, our management, including the Co-Chief Executive Officers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27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115" w:lineRule="exact"/>
        <w:rPr>
          <w:sz w:val="20"/>
          <w:szCs w:val="20"/>
          <w:color w:val="auto"/>
        </w:rPr>
      </w:pPr>
    </w:p>
    <w:p>
      <w:pPr>
        <w:ind w:left="140" w:firstLine="438"/>
        <w:spacing w:after="0" w:line="305" w:lineRule="auto"/>
        <w:rPr>
          <w:sz w:val="20"/>
          <w:szCs w:val="20"/>
          <w:color w:val="auto"/>
        </w:rPr>
      </w:pPr>
      <w:r>
        <w:rPr>
          <w:rFonts w:ascii="Arial" w:cs="Arial" w:eastAsia="Arial" w:hAnsi="Arial"/>
          <w:sz w:val="17"/>
          <w:szCs w:val="17"/>
          <w:color w:val="auto"/>
        </w:rPr>
        <w:t>Management has not identified any change in the Company’s internal control over financial reporting that occurred during the first quarter of 2022 that has materially affected, or is reasonably likely to materially affect, the Company’s internal control over financial reporting.</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PART II. OTHER INFORMATION</w:t>
      </w:r>
    </w:p>
    <w:p>
      <w:pPr>
        <w:spacing w:after="0" w:line="129"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9" w:lineRule="exact"/>
        <w:rPr>
          <w:sz w:val="20"/>
          <w:szCs w:val="20"/>
          <w:color w:val="auto"/>
        </w:rPr>
      </w:pPr>
    </w:p>
    <w:p>
      <w:pPr>
        <w:ind w:left="140" w:right="40" w:firstLine="438"/>
        <w:spacing w:after="0" w:line="255" w:lineRule="auto"/>
        <w:rPr>
          <w:sz w:val="20"/>
          <w:szCs w:val="20"/>
          <w:color w:val="auto"/>
        </w:rPr>
      </w:pPr>
      <w:r>
        <w:rPr>
          <w:rFonts w:ascii="Arial" w:cs="Arial" w:eastAsia="Arial" w:hAnsi="Arial"/>
          <w:sz w:val="18"/>
          <w:szCs w:val="18"/>
          <w:color w:val="auto"/>
        </w:rPr>
        <w:t>Other than as described below, we, the Administrator and the Investment Adviser are not currently subject to any material pending legal proceedings threatened against us. From time to time, we may be a party to certain legal proceedings incidental to the normal course of our business including the enforcement of our rights under contracts with our portfolio companies. While the outcome of these legal proceedings cannot be predicted with certainty, we do not expect that these proceedings will have a material effect upon our business, financial condition or results of operations beyond what has been disclosed within these financial statements.</w:t>
      </w:r>
    </w:p>
    <w:p>
      <w:pPr>
        <w:spacing w:after="0" w:line="190" w:lineRule="exact"/>
        <w:rPr>
          <w:sz w:val="20"/>
          <w:szCs w:val="20"/>
          <w:color w:val="auto"/>
        </w:rPr>
      </w:pPr>
    </w:p>
    <w:p>
      <w:pPr>
        <w:ind w:left="140" w:right="260" w:firstLine="438"/>
        <w:spacing w:after="0" w:line="300" w:lineRule="auto"/>
        <w:rPr>
          <w:sz w:val="20"/>
          <w:szCs w:val="20"/>
          <w:color w:val="auto"/>
        </w:rPr>
      </w:pPr>
      <w:r>
        <w:rPr>
          <w:rFonts w:ascii="Arial" w:cs="Arial" w:eastAsia="Arial" w:hAnsi="Arial"/>
          <w:sz w:val="16"/>
          <w:szCs w:val="16"/>
          <w:color w:val="auto"/>
        </w:rPr>
        <w:t>On January 17, 2022, a stockholder complaint was filed in the United States District Court for the Eastern District of New York, against the Company and the members of the Board, entitled Gates v. SLR Investment Corp., et al., No. 1:22-cv-00261 (the “Gates Complaint”). On January 21, 2022, a stockholder complaint was filed in the United States District Court for the Southern District of New York, against the Company and the members of the Board, entitled Shumacher v. SLR Investment Corp., et al., No. 1:22-cv-00576 (the “Shumacher Complaint”).</w:t>
      </w:r>
    </w:p>
    <w:p>
      <w:pPr>
        <w:spacing w:after="0" w:line="155" w:lineRule="exact"/>
        <w:rPr>
          <w:sz w:val="20"/>
          <w:szCs w:val="20"/>
          <w:color w:val="auto"/>
        </w:rPr>
      </w:pPr>
    </w:p>
    <w:p>
      <w:pPr>
        <w:ind w:left="140" w:right="40" w:firstLine="438"/>
        <w:spacing w:after="0" w:line="310" w:lineRule="auto"/>
        <w:rPr>
          <w:sz w:val="20"/>
          <w:szCs w:val="20"/>
          <w:color w:val="auto"/>
        </w:rPr>
      </w:pPr>
      <w:r>
        <w:rPr>
          <w:rFonts w:ascii="Arial" w:cs="Arial" w:eastAsia="Arial" w:hAnsi="Arial"/>
          <w:sz w:val="16"/>
          <w:szCs w:val="16"/>
          <w:color w:val="auto"/>
        </w:rPr>
        <w:t>On January 31, 2022, two putative class action stockholder complaints were filed in the Circuit Court for Baltimore City, Maryland against SUNS and the members of the Board of Directors of SUNS (the “SUNS Board”), captioned respectively Neal v. Gross, et al., No. 24-C-22-000557 (Md. Cir. Ct. Baltimore City) (the “Neal Complaint”), and Tobin v. Gross, et al., 24-C-22-000558 (Md. Cir. Ct. Baltimore City) (the “Tobin Complaint”).</w:t>
      </w:r>
    </w:p>
    <w:p>
      <w:pPr>
        <w:spacing w:after="0" w:line="147" w:lineRule="exact"/>
        <w:rPr>
          <w:sz w:val="20"/>
          <w:szCs w:val="20"/>
          <w:color w:val="auto"/>
        </w:rPr>
      </w:pPr>
    </w:p>
    <w:p>
      <w:pPr>
        <w:ind w:left="140" w:firstLine="438"/>
        <w:spacing w:after="0" w:line="268" w:lineRule="auto"/>
        <w:rPr>
          <w:sz w:val="20"/>
          <w:szCs w:val="20"/>
          <w:color w:val="auto"/>
        </w:rPr>
      </w:pPr>
      <w:r>
        <w:rPr>
          <w:rFonts w:ascii="Arial" w:cs="Arial" w:eastAsia="Arial" w:hAnsi="Arial"/>
          <w:sz w:val="17"/>
          <w:szCs w:val="17"/>
          <w:color w:val="auto"/>
        </w:rPr>
        <w:t>On February 8, 2022, a stockholder complaint was filed in the United States District Court for the Southern District of New York, against SUNS and the members of the SUNS Board, entitled Kershner v. SLR Senior Investment Corp., et al., No. 1:22-cv-01096 (the “Kershner Complaint”). On February 21, 2022, a stockholder complaint was filed in the United States District Court for the Southern District of New York, against SUNS and the members of the SUNS Board, entitled Sharp v. SLR Senior Investment Corp., et al., No. 1:22-cv-01418 (the “Sharp Complaint”). On February 22, 2022, a stockholder complaint was filed in the United States District Court for the Southern District of New York, against SUNS, the members of the SUNS Board, us, and the Investment Adviser, entitled Ciccotelli v. SLR Senior Investment Corp., et al., No. 1:22-cv-01454 (the “Ciccotelli Complaint”). On February 22, 2022, a stockholder complaint was filed in the United States District Court for the Eastern District of Pennsylvania, against SUNS and the members of the SUNS Board entitled Justice v. SLR Senior Investment Corp., et al., No. 2:22-cv-00673 (the “Justice Complaint,” and together with the Gates Complaint, the Schumacher Complaint, the Neal Complaint, the Tobin Complaint, the Kershner Complaint, the Sharp Complaint, the Ciccotelli Complaint and the Justice Complaint, the “Merger Complaints”).</w:t>
      </w:r>
    </w:p>
    <w:p>
      <w:pPr>
        <w:spacing w:after="0" w:line="182" w:lineRule="exact"/>
        <w:rPr>
          <w:sz w:val="20"/>
          <w:szCs w:val="20"/>
          <w:color w:val="auto"/>
        </w:rPr>
      </w:pPr>
    </w:p>
    <w:p>
      <w:pPr>
        <w:ind w:left="140" w:firstLine="438"/>
        <w:spacing w:after="0" w:line="272" w:lineRule="auto"/>
        <w:rPr>
          <w:sz w:val="20"/>
          <w:szCs w:val="20"/>
          <w:color w:val="auto"/>
        </w:rPr>
      </w:pPr>
      <w:r>
        <w:rPr>
          <w:rFonts w:ascii="Arial" w:cs="Arial" w:eastAsia="Arial" w:hAnsi="Arial"/>
          <w:sz w:val="17"/>
          <w:szCs w:val="17"/>
          <w:color w:val="auto"/>
        </w:rPr>
        <w:t>Each of the Gates and Schumacher Complaints alleged, among other things, that the joint proxy statement/prospectus initially filed with the SEC on December 16, 2021 contained materially misleading and incomplete disclosures. Each of the Gates and Schumacher Complaints sought, among other things, that supplemental disclosures be made to the joint proxy statement/ prospectus to address the alleged materially misleading and incomplete disclosures. As a result of the alleged omissions, each of the Gates and Schumacher Complaints sought to hold the Company and its directors liable for violating Section 14(a) of the Exchange Act and Rule 14a-9 promulgated thereunder, and additionally sought to hold the Company’s directors liable as control persons pursuant to Section 20(a) of the Exchange Act.</w:t>
      </w:r>
    </w:p>
    <w:p>
      <w:pPr>
        <w:sectPr>
          <w:pgSz w:w="11900" w:h="16838" w:orient="portrait"/>
          <w:cols w:equalWidth="0" w:num="1">
            <w:col w:w="11080"/>
          </w:cols>
          <w:pgMar w:left="320" w:top="458" w:right="499" w:bottom="1440" w:gutter="0" w:footer="0" w:header="0"/>
        </w:sectPr>
      </w:pP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080"/>
          </w:cols>
          <w:pgMar w:left="320" w:top="458" w:right="49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right="40" w:firstLine="438"/>
        <w:spacing w:after="0" w:line="290" w:lineRule="auto"/>
        <w:rPr>
          <w:sz w:val="20"/>
          <w:szCs w:val="20"/>
          <w:color w:val="auto"/>
        </w:rPr>
      </w:pPr>
      <w:r>
        <w:rPr>
          <w:rFonts w:ascii="Arial" w:cs="Arial" w:eastAsia="Arial" w:hAnsi="Arial"/>
          <w:sz w:val="16"/>
          <w:szCs w:val="16"/>
          <w:color w:val="auto"/>
        </w:rPr>
        <w:t>Each of the Neal and Tobin Complaints alleged, among other things, that the members of the SUNS Board breached their fiduciary duties when they approved the proposed merger between SUNS and the Company, and that the disclosures in the joint proxy statement/prospectus initially filed with the SEC on December 16, 2021 contained materially misleading and incomplete disclosures. Each of Neal and Tobin Complaints raised these claims under Maryland law, and sought: (i) certification that the case can be maintained as a class action, with the plaintiff named as a representative of the proposed class (consisting of the public shareholders of SUNS); (ii) an order enjoining the shareholder vote to approve the proposed merger between SUNS and the Company; and (iii) rescission of the proposed merger between SUNS and the Company. These cases were dismissed as to the named plaintiffs only on April 1, 2022 with the Court retaining jurisdiction in connection with a possible future fee and expense application by plaintiffs.</w:t>
      </w:r>
    </w:p>
    <w:p>
      <w:pPr>
        <w:spacing w:after="0" w:line="164" w:lineRule="exact"/>
        <w:rPr>
          <w:sz w:val="20"/>
          <w:szCs w:val="20"/>
          <w:color w:val="auto"/>
        </w:rPr>
      </w:pPr>
    </w:p>
    <w:p>
      <w:pPr>
        <w:ind w:left="140" w:firstLine="438"/>
        <w:spacing w:after="0" w:line="269" w:lineRule="auto"/>
        <w:rPr>
          <w:sz w:val="20"/>
          <w:szCs w:val="20"/>
          <w:color w:val="auto"/>
        </w:rPr>
      </w:pPr>
      <w:r>
        <w:rPr>
          <w:rFonts w:ascii="Arial" w:cs="Arial" w:eastAsia="Arial" w:hAnsi="Arial"/>
          <w:sz w:val="17"/>
          <w:szCs w:val="17"/>
          <w:color w:val="auto"/>
        </w:rPr>
        <w:t>The defendants believe that the Company made complete disclosure of all information required to be disclosed to ensure that the Company’s stockholders were able to make an informed vote at the Company’s Special Meeting of Stockholders held on March 22, 2022 and that the additional disclosures requested by the plaintiff were immaterial and/or were included in the preliminary joint proxy statement/prospectus filed as part of the Company’s Registration Statement on Form N-14 on December 16, 2021. Accordingly, the defendants believe these claims are without merit and intend to vigorously defend against them. However, in an attempt to reduce the costs, risks and uncertainties inherent in litigation and to maximize the Company’s net asset value at the time of the Mergers, the Company determined to voluntarily include certain supplemental disclosures in its Current Report on Form 8-K filed on March 14, 2022. The inclusion of such disclosures shall not be deemed an admission of the legal necessity or materiality of any of these disclosures under applicable law. Rather, the Company and the Board specifically denied all allegations in the Merger Complaints that any additional disclosure was or is required.</w:t>
      </w:r>
    </w:p>
    <w:p>
      <w:pPr>
        <w:spacing w:after="0" w:line="178" w:lineRule="exact"/>
        <w:rPr>
          <w:sz w:val="20"/>
          <w:szCs w:val="20"/>
          <w:color w:val="auto"/>
        </w:rPr>
      </w:pPr>
    </w:p>
    <w:p>
      <w:pPr>
        <w:ind w:left="140" w:right="340" w:firstLine="438"/>
        <w:spacing w:after="0" w:line="275" w:lineRule="auto"/>
        <w:rPr>
          <w:sz w:val="20"/>
          <w:szCs w:val="20"/>
          <w:color w:val="auto"/>
        </w:rPr>
      </w:pPr>
      <w:r>
        <w:rPr>
          <w:rFonts w:ascii="Arial" w:cs="Arial" w:eastAsia="Arial" w:hAnsi="Arial"/>
          <w:sz w:val="18"/>
          <w:szCs w:val="18"/>
          <w:color w:val="auto"/>
        </w:rPr>
        <w:t>On April 1, 2022, each of the Neal Complaint and the Tobin Complaint was dismissed as to the named plaintiffs only with the Court retaining jurisdiction in connection with a possible future fee and expense application by plaintiffs.</w:t>
      </w:r>
    </w:p>
    <w:p>
      <w:pPr>
        <w:spacing w:after="0" w:line="171" w:lineRule="exact"/>
        <w:rPr>
          <w:sz w:val="20"/>
          <w:szCs w:val="20"/>
          <w:color w:val="auto"/>
        </w:rPr>
      </w:pPr>
    </w:p>
    <w:p>
      <w:pPr>
        <w:ind w:left="140" w:right="600" w:firstLine="438"/>
        <w:spacing w:after="0" w:line="275" w:lineRule="auto"/>
        <w:rPr>
          <w:sz w:val="20"/>
          <w:szCs w:val="20"/>
          <w:color w:val="auto"/>
        </w:rPr>
      </w:pPr>
      <w:r>
        <w:rPr>
          <w:rFonts w:ascii="Arial" w:cs="Arial" w:eastAsia="Arial" w:hAnsi="Arial"/>
          <w:sz w:val="18"/>
          <w:szCs w:val="18"/>
          <w:color w:val="auto"/>
        </w:rPr>
        <w:t>On April 6, 2022, each of the Schumacher Complaint, the Kershner Complaint, the Sharp Complaint, the Ciccotelli Complaint and Justice Complaint was voluntarily dismissed.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April 14, 2022, the Gates Complaint was voluntarily dismissed.</w:t>
      </w:r>
    </w:p>
    <w:p>
      <w:pPr>
        <w:spacing w:after="0" w:line="36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“Risk Factors” in the March 1,</w:t>
      </w:r>
    </w:p>
    <w:p>
      <w:pPr>
        <w:spacing w:after="0" w:line="46" w:lineRule="exact"/>
        <w:rPr>
          <w:sz w:val="20"/>
          <w:szCs w:val="20"/>
          <w:color w:val="auto"/>
        </w:rPr>
      </w:pPr>
    </w:p>
    <w:p>
      <w:pPr>
        <w:ind w:left="140" w:right="160"/>
        <w:spacing w:after="0" w:line="251" w:lineRule="auto"/>
        <w:rPr>
          <w:sz w:val="20"/>
          <w:szCs w:val="20"/>
          <w:color w:val="auto"/>
        </w:rPr>
      </w:pPr>
      <w:r>
        <w:rPr>
          <w:rFonts w:ascii="Arial" w:cs="Arial" w:eastAsia="Arial" w:hAnsi="Arial"/>
          <w:sz w:val="18"/>
          <w:szCs w:val="18"/>
          <w:color w:val="auto"/>
        </w:rPr>
        <w:t>2022 filing of our Annual Report on Form 10-K, which could materially affect our business, financial condition and/or operating results. The risks described in our Annual Report are not the only risks facing our Company. Additional risks and uncertainties not currently known to us or that we currently deem to be immaterial also may materially and adversely affect our business, financial condition and/or operating results. Other than the risk factors set forth below, there have been no material changes during the period ended March 31, 2022 to the risk factors discussed in “Risk Factors” in the March 1, 2022 filing of our Annual Report on Form 10-K.</w:t>
      </w:r>
    </w:p>
    <w:p>
      <w:pPr>
        <w:spacing w:after="0" w:line="300" w:lineRule="exact"/>
        <w:rPr>
          <w:sz w:val="20"/>
          <w:szCs w:val="20"/>
          <w:color w:val="auto"/>
        </w:rPr>
      </w:pPr>
    </w:p>
    <w:p>
      <w:pPr>
        <w:ind w:left="140" w:right="460"/>
        <w:spacing w:after="0" w:line="275" w:lineRule="auto"/>
        <w:rPr>
          <w:sz w:val="20"/>
          <w:szCs w:val="20"/>
          <w:color w:val="auto"/>
        </w:rPr>
      </w:pPr>
      <w:r>
        <w:rPr>
          <w:rFonts w:ascii="Arial" w:cs="Arial" w:eastAsia="Arial" w:hAnsi="Arial"/>
          <w:sz w:val="18"/>
          <w:szCs w:val="18"/>
          <w:b w:val="1"/>
          <w:bCs w:val="1"/>
          <w:i w:val="1"/>
          <w:iCs w:val="1"/>
          <w:color w:val="auto"/>
        </w:rPr>
        <w:t>We may be unable to realize the benefits anticipated by the Mergers, including estimated cost savings, or it may take longer than anticipated to achieve such benefits.</w:t>
      </w:r>
    </w:p>
    <w:p>
      <w:pPr>
        <w:spacing w:after="0" w:line="63" w:lineRule="exact"/>
        <w:rPr>
          <w:sz w:val="20"/>
          <w:szCs w:val="20"/>
          <w:color w:val="auto"/>
        </w:rPr>
      </w:pPr>
    </w:p>
    <w:p>
      <w:pPr>
        <w:ind w:left="140" w:right="20" w:firstLine="438"/>
        <w:spacing w:after="0" w:line="270" w:lineRule="auto"/>
        <w:rPr>
          <w:sz w:val="20"/>
          <w:szCs w:val="20"/>
          <w:color w:val="auto"/>
        </w:rPr>
      </w:pPr>
      <w:r>
        <w:rPr>
          <w:rFonts w:ascii="Arial" w:cs="Arial" w:eastAsia="Arial" w:hAnsi="Arial"/>
          <w:sz w:val="17"/>
          <w:szCs w:val="17"/>
          <w:color w:val="auto"/>
        </w:rPr>
        <w:t>The realization of certain benefits anticipated as a result of the Mergers will depend in part on the integration of SUNS’s investment portfolio with ours and the integration of SUNS’s business with our business. There can be no assurance that SUNS’s investment portfolio or business can be operated profitably or integrated successfully into our operations in a timely fashion or at all. The dedication of management resources to such integration may detract attention from the day-to-day business of the combined company and there can be no assurance that there will not be substantial costs associated with the transition process or there will not be other material adverse effects as a result of these integration efforts. Such effects, including incurring unexpected costs or delays in connection with such integration and failure of SUNS’s investment portfolio to perform as expected, could have a material adverse effect on the financial results of the combined company.</w:t>
      </w:r>
    </w:p>
    <w:p>
      <w:pPr>
        <w:spacing w:after="0" w:line="181" w:lineRule="exact"/>
        <w:rPr>
          <w:sz w:val="20"/>
          <w:szCs w:val="20"/>
          <w:color w:val="auto"/>
        </w:rPr>
      </w:pPr>
    </w:p>
    <w:p>
      <w:pPr>
        <w:ind w:left="140" w:right="40" w:firstLine="438"/>
        <w:spacing w:after="0" w:line="274" w:lineRule="auto"/>
        <w:rPr>
          <w:sz w:val="20"/>
          <w:szCs w:val="20"/>
          <w:color w:val="auto"/>
        </w:rPr>
      </w:pPr>
      <w:r>
        <w:rPr>
          <w:rFonts w:ascii="Arial" w:cs="Arial" w:eastAsia="Arial" w:hAnsi="Arial"/>
          <w:sz w:val="17"/>
          <w:szCs w:val="17"/>
          <w:color w:val="auto"/>
        </w:rPr>
        <w:t>We expect to achieve certain synergies and cost savings from the Mergers when the two companies have fully integrated their portfolios. It is possible that the estimates of these synergies and potential cost savings could ultimately be incorrect. The cost savings estimates also assume we will be able to combine our operations and SUNS’s operations in a manner that permits those cost savings to be fully realized. If the estimates turn out to be incorrect or if we are not able to successfully combine SUNS’s investment portfolio or business with our operations, the anticipated synergies and cost savings may not be fully realized or realized at all or may take longer to realize than expected.</w:t>
      </w:r>
    </w:p>
    <w:p>
      <w:pPr>
        <w:spacing w:after="0" w:line="28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The Russian invasion of Ukraine may have a material adverse impact on us and our portfolio companies.</w:t>
      </w:r>
    </w:p>
    <w:p>
      <w:pPr>
        <w:spacing w:after="0" w:line="115" w:lineRule="exact"/>
        <w:rPr>
          <w:sz w:val="20"/>
          <w:szCs w:val="20"/>
          <w:color w:val="auto"/>
        </w:rPr>
      </w:pPr>
    </w:p>
    <w:p>
      <w:pPr>
        <w:ind w:left="140" w:right="20" w:firstLine="438"/>
        <w:spacing w:after="0" w:line="262" w:lineRule="auto"/>
        <w:rPr>
          <w:sz w:val="20"/>
          <w:szCs w:val="20"/>
          <w:color w:val="auto"/>
        </w:rPr>
      </w:pPr>
      <w:r>
        <w:rPr>
          <w:rFonts w:ascii="Arial" w:cs="Arial" w:eastAsia="Arial" w:hAnsi="Arial"/>
          <w:sz w:val="18"/>
          <w:szCs w:val="18"/>
          <w:color w:val="auto"/>
        </w:rPr>
        <w:t>On February 24, 2022, the Russian military commenced a full-scale invasion of Russia’s pre-positioned forces into Ukraine, which could have a negative impact on the economy and business activity globally (including in the countries in which the Company invests), and therefore could adversely affect the performance of the Company’s investments. Following such invasion, the United</w:t>
      </w:r>
    </w:p>
    <w:p>
      <w:pPr>
        <w:sectPr>
          <w:pgSz w:w="11900" w:h="16838" w:orient="portrait"/>
          <w:cols w:equalWidth="0" w:num="1">
            <w:col w:w="11080"/>
          </w:cols>
          <w:pgMar w:left="320" w:top="458" w:right="499" w:bottom="1440" w:gutter="0" w:footer="0" w:header="0"/>
        </w:sectPr>
      </w:pP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080"/>
          </w:cols>
          <w:pgMar w:left="320" w:top="458" w:right="4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40" w:right="20"/>
        <w:spacing w:after="0" w:line="274" w:lineRule="auto"/>
        <w:rPr>
          <w:sz w:val="20"/>
          <w:szCs w:val="20"/>
          <w:color w:val="auto"/>
        </w:rPr>
      </w:pPr>
      <w:r>
        <w:rPr>
          <w:rFonts w:ascii="Arial" w:cs="Arial" w:eastAsia="Arial" w:hAnsi="Arial"/>
          <w:sz w:val="17"/>
          <w:szCs w:val="17"/>
          <w:color w:val="auto"/>
        </w:rPr>
        <w:t>States and several European nations announced sanctions against Russia.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318"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did not engage in unregistered sales of securities during the quarter ended March 31, 2022.</w:t>
      </w:r>
    </w:p>
    <w:p>
      <w:pPr>
        <w:spacing w:after="0" w:line="36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6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36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67" w:lineRule="exact"/>
        <w:rPr>
          <w:sz w:val="20"/>
          <w:szCs w:val="20"/>
          <w:color w:val="auto"/>
        </w:rPr>
      </w:pPr>
    </w:p>
    <w:p>
      <w:pPr>
        <w:ind w:left="140"/>
        <w:spacing w:after="0"/>
        <w:tabs>
          <w:tab w:leader="none" w:pos="12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992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992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9"/>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23"/>
                <w:szCs w:val="23"/>
                <w:color w:val="auto"/>
              </w:rPr>
            </w:pPr>
          </w:p>
        </w:tc>
        <w:tc>
          <w:tcPr>
            <w:tcW w:w="9920" w:type="dxa"/>
            <w:vAlign w:val="bottom"/>
            <w:gridSpan w:val="20"/>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Agreement and Plan of Merger among SLR Investment Corp., SLR Senior Investment Corp., Solstice Merger Sub, Inc. and SLR Capital</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500" w:type="dxa"/>
            <w:vAlign w:val="bottom"/>
            <w:tcBorders>
              <w:top w:val="single" w:sz="8" w:color="0000EE"/>
              <w:bottom w:val="single" w:sz="8" w:color="0000EE"/>
            </w:tcBorders>
            <w:gridSpan w:val="9"/>
          </w:tcPr>
          <w:p>
            <w:pPr>
              <w:spacing w:after="0" w:line="195"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Partners, LLC (for the limited purposes set forth therein), dated as of December 1, 2021(7)</w:t>
              </w:r>
            </w:hyperlink>
          </w:p>
        </w:tc>
        <w:tc>
          <w:tcPr>
            <w:tcW w:w="3280" w:type="dxa"/>
            <w:vAlign w:val="bottom"/>
            <w:tcBorders>
              <w:top w:val="single" w:sz="8" w:color="0000EE"/>
            </w:tcBorders>
            <w:gridSpan w:val="8"/>
          </w:tcPr>
          <w:p>
            <w:pPr>
              <w:spacing w:after="0"/>
              <w:rPr>
                <w:sz w:val="16"/>
                <w:szCs w:val="16"/>
                <w:color w:val="auto"/>
              </w:rPr>
            </w:pPr>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r:id="rId74">
              <w:r>
                <w:rPr>
                  <w:rFonts w:ascii="Arial" w:cs="Arial" w:eastAsia="Arial" w:hAnsi="Arial"/>
                  <w:sz w:val="18"/>
                  <w:szCs w:val="18"/>
                  <w:color w:val="0000EE"/>
                </w:rPr>
                <w:t>Articles of Amendment and Restatement(1)</w:t>
              </w:r>
            </w:hyperlink>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3120" w:type="dxa"/>
            <w:vAlign w:val="bottom"/>
            <w:tcBorders>
              <w:top w:val="single" w:sz="8" w:color="0000EE"/>
            </w:tcBorders>
            <w:gridSpan w:val="6"/>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Second Amended and Restated Bylaws(7)</w:t>
              </w:r>
            </w:hyperlink>
          </w:p>
        </w:tc>
        <w:tc>
          <w:tcPr>
            <w:tcW w:w="68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Common Stock Certificate(2)</w:t>
              </w:r>
            </w:hyperlink>
          </w:p>
        </w:tc>
        <w:tc>
          <w:tcPr>
            <w:tcW w:w="260" w:type="dxa"/>
            <w:vAlign w:val="bottom"/>
            <w:tcBorders>
              <w:top w:val="single" w:sz="8" w:color="0000EE"/>
            </w:tcBorders>
            <w:gridSpan w:val="2"/>
          </w:tcPr>
          <w:p>
            <w:pPr>
              <w:spacing w:after="0"/>
              <w:rPr>
                <w:sz w:val="24"/>
                <w:szCs w:val="24"/>
                <w:color w:val="auto"/>
              </w:rPr>
            </w:pPr>
          </w:p>
        </w:tc>
        <w:tc>
          <w:tcPr>
            <w:tcW w:w="69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8320" w:type="dxa"/>
            <w:vAlign w:val="bottom"/>
            <w:tcBorders>
              <w:bottom w:val="single" w:sz="8" w:color="0000EE"/>
            </w:tcBorders>
            <w:gridSpan w:val="12"/>
          </w:tcPr>
          <w:p>
            <w:pPr>
              <w:spacing w:after="0"/>
              <w:rPr>
                <w:rFonts w:ascii="Arial" w:cs="Arial" w:eastAsia="Arial" w:hAnsi="Arial"/>
                <w:sz w:val="18"/>
                <w:szCs w:val="18"/>
                <w:color w:val="0000EE"/>
                <w:w w:val="89"/>
              </w:rPr>
            </w:pPr>
            <w:hyperlink r:id="rId77">
              <w:r>
                <w:rPr>
                  <w:rFonts w:ascii="Arial" w:cs="Arial" w:eastAsia="Arial" w:hAnsi="Arial"/>
                  <w:sz w:val="18"/>
                  <w:szCs w:val="18"/>
                  <w:color w:val="0000EE"/>
                  <w:w w:val="89"/>
                </w:rPr>
                <w:t>Indenture, dated as of November 16, 2012, between the Registrant and U.S. Bank National Association as trustee(4)</w:t>
              </w:r>
            </w:hyperlink>
          </w:p>
        </w:tc>
        <w:tc>
          <w:tcPr>
            <w:tcW w:w="1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9860" w:type="dxa"/>
            <w:vAlign w:val="bottom"/>
            <w:tcBorders>
              <w:bottom w:val="single" w:sz="8" w:color="0000EE"/>
            </w:tcBorders>
            <w:gridSpan w:val="19"/>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Second Supplemental Indenture, dated November 22, 2017, relating to the 4.50% Notes due 2023, between the Registrant and U.S. Bank</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20" w:type="dxa"/>
            <w:vAlign w:val="bottom"/>
            <w:gridSpan w:val="20"/>
          </w:tcPr>
          <w:p>
            <w:pPr>
              <w:spacing w:after="0" w:line="195" w:lineRule="exact"/>
              <w:rPr>
                <w:rFonts w:ascii="Arial" w:cs="Arial" w:eastAsia="Arial" w:hAnsi="Arial"/>
                <w:sz w:val="18"/>
                <w:szCs w:val="18"/>
                <w:color w:val="0000EE"/>
              </w:rPr>
            </w:pPr>
            <w:hyperlink r:id="rId78">
              <w:r>
                <w:rPr>
                  <w:rFonts w:ascii="Arial" w:cs="Arial" w:eastAsia="Arial" w:hAnsi="Arial"/>
                  <w:sz w:val="18"/>
                  <w:szCs w:val="18"/>
                  <w:color w:val="0000EE"/>
                </w:rPr>
                <w:t>National Association as trustee, including the Form of 4.50% Notes due 2023(5)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10.1</w:t>
            </w:r>
          </w:p>
        </w:tc>
        <w:tc>
          <w:tcPr>
            <w:tcW w:w="520" w:type="dxa"/>
            <w:vAlign w:val="bottom"/>
          </w:tcPr>
          <w:p>
            <w:pPr>
              <w:spacing w:after="0"/>
              <w:rPr>
                <w:sz w:val="24"/>
                <w:szCs w:val="24"/>
                <w:color w:val="auto"/>
              </w:rPr>
            </w:pPr>
          </w:p>
        </w:tc>
        <w:tc>
          <w:tcPr>
            <w:tcW w:w="9580" w:type="dxa"/>
            <w:vAlign w:val="bottom"/>
            <w:tcBorders>
              <w:bottom w:val="single" w:sz="8" w:color="0000EE"/>
            </w:tcBorders>
            <w:gridSpan w:val="14"/>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Form of Contribution Agreement, dated as of August 26, 2011, by and between SUNS SPV LLC, as the contributee, and SLR Senior</w:t>
              </w:r>
            </w:hyperlink>
          </w:p>
        </w:tc>
        <w:tc>
          <w:tcPr>
            <w:tcW w:w="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0" w:type="dxa"/>
            <w:vAlign w:val="bottom"/>
            <w:tcBorders>
              <w:bottom w:val="single" w:sz="8" w:color="0000EE"/>
            </w:tcBorders>
            <w:gridSpan w:val="4"/>
          </w:tcPr>
          <w:p>
            <w:pPr>
              <w:spacing w:after="0" w:line="195"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Investment Corp., as the contributor(3)</w:t>
              </w:r>
            </w:hyperlink>
          </w:p>
        </w:tc>
        <w:tc>
          <w:tcPr>
            <w:tcW w:w="71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10.2</w:t>
            </w:r>
          </w:p>
        </w:tc>
        <w:tc>
          <w:tcPr>
            <w:tcW w:w="520" w:type="dxa"/>
            <w:vAlign w:val="bottom"/>
          </w:tcPr>
          <w:p>
            <w:pPr>
              <w:spacing w:after="0"/>
              <w:rPr>
                <w:sz w:val="24"/>
                <w:szCs w:val="24"/>
                <w:color w:val="auto"/>
              </w:rPr>
            </w:pPr>
          </w:p>
        </w:tc>
        <w:tc>
          <w:tcPr>
            <w:tcW w:w="9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Form of Loan and Servicing Agreement, dated as of August 26, 2011 (as amended through the Tenth Amendment dated as of December</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760" w:type="dxa"/>
            <w:vAlign w:val="bottom"/>
            <w:tcBorders>
              <w:bottom w:val="single" w:sz="8" w:color="0000EE"/>
            </w:tcBorders>
            <w:gridSpan w:val="16"/>
          </w:tcPr>
          <w:p>
            <w:pPr>
              <w:spacing w:after="0" w:line="195"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29, 2021), by and among SLR Senior Investment Corp., as the servicer and the transferor, SUNS SPV LLC, as the borrower, each of the</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20" w:type="dxa"/>
            <w:vAlign w:val="bottom"/>
            <w:gridSpan w:val="20"/>
          </w:tcPr>
          <w:p>
            <w:pPr>
              <w:spacing w:after="0" w:line="195"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conduit lenders from time to time party thereto, each of the liquidity banks from time to time party thereto, each of the lender agents from</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40" w:type="dxa"/>
            <w:vAlign w:val="bottom"/>
            <w:tcBorders>
              <w:top w:val="single" w:sz="8" w:color="0000EE"/>
              <w:bottom w:val="single" w:sz="8" w:color="0000EE"/>
            </w:tcBorders>
            <w:gridSpan w:val="15"/>
          </w:tcPr>
          <w:p>
            <w:pPr>
              <w:spacing w:after="0" w:line="195"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time to time party thereto, Citibank, N.A., as the administrative agent and collateral agent, and Wells Fargo Bank, N.A., as the account</w:t>
              </w:r>
            </w:hyperlink>
          </w:p>
        </w:tc>
        <w:tc>
          <w:tcPr>
            <w:tcW w:w="220" w:type="dxa"/>
            <w:vAlign w:val="bottom"/>
            <w:tcBorders>
              <w:top w:val="single" w:sz="8" w:color="0000EE"/>
            </w:tcBorders>
            <w:gridSpan w:val="4"/>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20" w:type="dxa"/>
            <w:vAlign w:val="bottom"/>
            <w:gridSpan w:val="20"/>
          </w:tcPr>
          <w:p>
            <w:pPr>
              <w:spacing w:after="0" w:line="195" w:lineRule="exact"/>
              <w:rPr>
                <w:rFonts w:ascii="Arial" w:cs="Arial" w:eastAsia="Arial" w:hAnsi="Arial"/>
                <w:sz w:val="18"/>
                <w:szCs w:val="18"/>
                <w:color w:val="0000EE"/>
              </w:rPr>
            </w:pPr>
            <w:hyperlink w:anchor="page58">
              <w:r>
                <w:rPr>
                  <w:rFonts w:ascii="Arial" w:cs="Arial" w:eastAsia="Arial" w:hAnsi="Arial"/>
                  <w:sz w:val="18"/>
                  <w:szCs w:val="18"/>
                  <w:color w:val="0000EE"/>
                </w:rPr>
                <w:t>bank, the backup servicer and the collateral custodian*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10.3</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rPr>
            </w:pPr>
            <w:hyperlink r:id="rId80">
              <w:r>
                <w:rPr>
                  <w:rFonts w:ascii="Arial" w:cs="Arial" w:eastAsia="Arial" w:hAnsi="Arial"/>
                  <w:sz w:val="18"/>
                  <w:szCs w:val="18"/>
                  <w:color w:val="0000EE"/>
                </w:rPr>
                <w:t>Letter Agreement, dated as of April 1, 2022, between SLR Investment Corp. and SLR Capital Partners, LLC(8)</w:t>
              </w:r>
            </w:hyperlink>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10.4</w:t>
            </w:r>
          </w:p>
        </w:tc>
        <w:tc>
          <w:tcPr>
            <w:tcW w:w="520" w:type="dxa"/>
            <w:vAlign w:val="bottom"/>
          </w:tcPr>
          <w:p>
            <w:pPr>
              <w:spacing w:after="0"/>
              <w:rPr>
                <w:sz w:val="24"/>
                <w:szCs w:val="24"/>
                <w:color w:val="auto"/>
              </w:rPr>
            </w:pPr>
          </w:p>
        </w:tc>
        <w:tc>
          <w:tcPr>
            <w:tcW w:w="6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Credit Facility Assumption Agreement, dated as of April 1, 2022, by SLR Investment Corp.(8)</w:t>
              </w:r>
            </w:hyperlink>
          </w:p>
        </w:tc>
        <w:tc>
          <w:tcPr>
            <w:tcW w:w="1180" w:type="dxa"/>
            <w:vAlign w:val="bottom"/>
            <w:tcBorders>
              <w:top w:val="single" w:sz="8" w:color="0000EE"/>
            </w:tcBorders>
          </w:tcPr>
          <w:p>
            <w:pPr>
              <w:spacing w:after="0"/>
              <w:rPr>
                <w:sz w:val="24"/>
                <w:szCs w:val="24"/>
                <w:color w:val="auto"/>
              </w:rPr>
            </w:pPr>
          </w:p>
        </w:tc>
        <w:tc>
          <w:tcPr>
            <w:tcW w:w="19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10.5</w:t>
            </w:r>
          </w:p>
        </w:tc>
        <w:tc>
          <w:tcPr>
            <w:tcW w:w="520" w:type="dxa"/>
            <w:vAlign w:val="bottom"/>
          </w:tcPr>
          <w:p>
            <w:pPr>
              <w:spacing w:after="0"/>
              <w:rPr>
                <w:sz w:val="24"/>
                <w:szCs w:val="24"/>
                <w:color w:val="auto"/>
              </w:rPr>
            </w:pPr>
          </w:p>
        </w:tc>
        <w:tc>
          <w:tcPr>
            <w:tcW w:w="9920" w:type="dxa"/>
            <w:vAlign w:val="bottom"/>
            <w:tcBorders>
              <w:bottom w:val="single" w:sz="8" w:color="0000EE"/>
            </w:tcBorders>
            <w:gridSpan w:val="20"/>
          </w:tcPr>
          <w:p>
            <w:pPr>
              <w:spacing w:after="0"/>
              <w:rPr>
                <w:rFonts w:ascii="Arial" w:cs="Arial" w:eastAsia="Arial" w:hAnsi="Arial"/>
                <w:sz w:val="18"/>
                <w:szCs w:val="18"/>
                <w:color w:val="0000EE"/>
                <w:w w:val="90"/>
              </w:rPr>
            </w:pPr>
            <w:hyperlink r:id="rId82">
              <w:r>
                <w:rPr>
                  <w:rFonts w:ascii="Arial" w:cs="Arial" w:eastAsia="Arial" w:hAnsi="Arial"/>
                  <w:sz w:val="18"/>
                  <w:szCs w:val="18"/>
                  <w:color w:val="0000EE"/>
                  <w:w w:val="90"/>
                </w:rPr>
                <w:t>Assumption Agreement, dated as of April 1, 2022, made by SLR Investment Corp. for the benefit of the holders of Notes issues under the</w:t>
              </w:r>
            </w:hyperlink>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920" w:type="dxa"/>
            <w:vAlign w:val="bottom"/>
            <w:gridSpan w:val="20"/>
          </w:tcPr>
          <w:p>
            <w:pPr>
              <w:spacing w:after="0" w:line="195" w:lineRule="exact"/>
              <w:rPr>
                <w:rFonts w:ascii="Arial" w:cs="Arial" w:eastAsia="Arial" w:hAnsi="Arial"/>
                <w:sz w:val="18"/>
                <w:szCs w:val="18"/>
                <w:color w:val="0000EE"/>
              </w:rPr>
            </w:pPr>
            <w:hyperlink r:id="rId82">
              <w:r>
                <w:rPr>
                  <w:rFonts w:ascii="Arial" w:cs="Arial" w:eastAsia="Arial" w:hAnsi="Arial"/>
                  <w:sz w:val="18"/>
                  <w:szCs w:val="18"/>
                  <w:color w:val="0000EE"/>
                </w:rPr>
                <w:t>Note Purchase Agreement(7)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40" w:type="dxa"/>
            <w:vAlign w:val="bottom"/>
            <w:gridSpan w:val="11"/>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10.6</w:t>
            </w:r>
          </w:p>
        </w:tc>
        <w:tc>
          <w:tcPr>
            <w:tcW w:w="520" w:type="dxa"/>
            <w:vAlign w:val="bottom"/>
          </w:tcPr>
          <w:p>
            <w:pPr>
              <w:spacing w:after="0"/>
              <w:rPr>
                <w:sz w:val="24"/>
                <w:szCs w:val="24"/>
                <w:color w:val="auto"/>
              </w:rPr>
            </w:pPr>
          </w:p>
        </w:tc>
        <w:tc>
          <w:tcPr>
            <w:tcW w:w="9920" w:type="dxa"/>
            <w:vAlign w:val="bottom"/>
            <w:gridSpan w:val="20"/>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Note Purchase Agreement, dated as of March 31, 2020, between SLR Senior Investment Corp. and the purchasers party thereto(6)</w:t>
              </w:r>
            </w:hyperlink>
          </w:p>
        </w:tc>
        <w:tc>
          <w:tcPr>
            <w:tcW w:w="0" w:type="dxa"/>
            <w:vAlign w:val="bottom"/>
          </w:tcPr>
          <w:p>
            <w:pPr>
              <w:spacing w:after="0"/>
              <w:rPr>
                <w:sz w:val="1"/>
                <w:szCs w:val="1"/>
                <w:color w:val="auto"/>
              </w:rPr>
            </w:pPr>
          </w:p>
        </w:tc>
      </w:tr>
      <w:tr>
        <w:trPr>
          <w:trHeight w:val="383"/>
        </w:trPr>
        <w:tc>
          <w:tcPr>
            <w:tcW w:w="5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5740" w:type="dxa"/>
            <w:vAlign w:val="bottom"/>
            <w:tcBorders>
              <w:top w:val="single" w:sz="8" w:color="0000EE"/>
            </w:tcBorders>
            <w:gridSpan w:val="7"/>
          </w:tcPr>
          <w:p>
            <w:pPr>
              <w:jc w:val="right"/>
              <w:ind w:right="1220"/>
              <w:spacing w:after="0"/>
              <w:rPr>
                <w:sz w:val="20"/>
                <w:szCs w:val="20"/>
                <w:color w:val="auto"/>
              </w:rPr>
            </w:pPr>
            <w:r>
              <w:rPr>
                <w:rFonts w:ascii="Arial" w:cs="Arial" w:eastAsia="Arial" w:hAnsi="Arial"/>
                <w:sz w:val="18"/>
                <w:szCs w:val="18"/>
                <w:color w:val="auto"/>
              </w:rPr>
              <w:t>54</w:t>
            </w:r>
          </w:p>
        </w:tc>
        <w:tc>
          <w:tcPr>
            <w:tcW w:w="7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8"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9920" w:type="dxa"/>
            <w:vAlign w:val="bottom"/>
            <w:gridSpan w:val="8"/>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7"/>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5"/>
                <w:szCs w:val="15"/>
                <w:color w:val="auto"/>
              </w:rPr>
            </w:pPr>
          </w:p>
        </w:tc>
        <w:tc>
          <w:tcPr>
            <w:tcW w:w="992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3"/>
                <w:szCs w:val="23"/>
                <w:color w:val="auto"/>
              </w:rPr>
            </w:pPr>
          </w:p>
        </w:tc>
        <w:tc>
          <w:tcPr>
            <w:tcW w:w="5040" w:type="dxa"/>
            <w:vAlign w:val="bottom"/>
            <w:tcBorders>
              <w:bottom w:val="single" w:sz="8" w:color="0000EE"/>
            </w:tcBorders>
          </w:tcPr>
          <w:p>
            <w:pPr>
              <w:spacing w:after="0"/>
              <w:rPr>
                <w:rFonts w:ascii="Arial" w:cs="Arial" w:eastAsia="Arial" w:hAnsi="Arial"/>
                <w:sz w:val="18"/>
                <w:szCs w:val="18"/>
                <w:color w:val="0000EE"/>
                <w:w w:val="90"/>
              </w:rPr>
            </w:pPr>
            <w:hyperlink w:anchor="page279">
              <w:r>
                <w:rPr>
                  <w:rFonts w:ascii="Arial" w:cs="Arial" w:eastAsia="Arial" w:hAnsi="Arial"/>
                  <w:sz w:val="18"/>
                  <w:szCs w:val="18"/>
                  <w:color w:val="0000EE"/>
                  <w:w w:val="90"/>
                </w:rPr>
                <w:t>Awareness Letter of Independent Registered Public Accounting Firm*</w:t>
              </w:r>
            </w:hyperlink>
          </w:p>
        </w:tc>
        <w:tc>
          <w:tcPr>
            <w:tcW w:w="48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884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80">
              <w:r>
                <w:rPr>
                  <w:rFonts w:ascii="Arial" w:cs="Arial" w:eastAsia="Arial" w:hAnsi="Arial"/>
                  <w:sz w:val="18"/>
                  <w:szCs w:val="18"/>
                  <w:color w:val="0000EE"/>
                  <w:w w:val="91"/>
                </w:rPr>
                <w:t>Certification of Co-Chief Executive Officer pursuant to Rule 13a-14 of the Securities Exchange Act of 1934, as amended.*</w:t>
              </w:r>
            </w:hyperlink>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88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81">
              <w:r>
                <w:rPr>
                  <w:rFonts w:ascii="Arial" w:cs="Arial" w:eastAsia="Arial" w:hAnsi="Arial"/>
                  <w:sz w:val="18"/>
                  <w:szCs w:val="18"/>
                  <w:color w:val="0000EE"/>
                  <w:w w:val="91"/>
                </w:rPr>
                <w:t>Certification of Co-Chief Executive Officer pursuant to Rule 13a-14 of the Securities Exchange Act of 1934, as amended.*</w:t>
              </w:r>
            </w:hyperlink>
          </w:p>
        </w:tc>
        <w:tc>
          <w:tcPr>
            <w:tcW w:w="1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31.3</w:t>
            </w:r>
          </w:p>
        </w:tc>
        <w:tc>
          <w:tcPr>
            <w:tcW w:w="5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Certification of Chief Financial Officer pursuant to Rule 13a-14 of the Securities Exchange Act of 1934, as amended.*</w:t>
              </w:r>
            </w:hyperlink>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83">
              <w:r>
                <w:rPr>
                  <w:rFonts w:ascii="Arial" w:cs="Arial" w:eastAsia="Arial" w:hAnsi="Arial"/>
                  <w:sz w:val="18"/>
                  <w:szCs w:val="18"/>
                  <w:color w:val="0000EE"/>
                  <w:w w:val="92"/>
                </w:rPr>
                <w:t>Certification of Co-Chief Executive Officer pursuant to Section 906 of The Sarbanes-Oxley Act of 2002.*</w:t>
              </w:r>
            </w:hyperlink>
          </w:p>
        </w:tc>
        <w:tc>
          <w:tcPr>
            <w:tcW w:w="880" w:type="dxa"/>
            <w:vAlign w:val="bottom"/>
            <w:tcBorders>
              <w:top w:val="single" w:sz="8" w:color="0000EE"/>
            </w:tcBorders>
          </w:tcPr>
          <w:p>
            <w:pPr>
              <w:spacing w:after="0"/>
              <w:rPr>
                <w:sz w:val="24"/>
                <w:szCs w:val="24"/>
                <w:color w:val="auto"/>
              </w:rPr>
            </w:pPr>
          </w:p>
        </w:tc>
        <w:tc>
          <w:tcPr>
            <w:tcW w:w="1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20" w:type="dxa"/>
            <w:vAlign w:val="bottom"/>
          </w:tcPr>
          <w:p>
            <w:pPr>
              <w:spacing w:after="0"/>
              <w:rPr>
                <w:sz w:val="24"/>
                <w:szCs w:val="24"/>
                <w:color w:val="auto"/>
              </w:rPr>
            </w:pPr>
          </w:p>
        </w:tc>
        <w:tc>
          <w:tcPr>
            <w:tcW w:w="9920" w:type="dxa"/>
            <w:vAlign w:val="bottom"/>
            <w:gridSpan w:val="8"/>
          </w:tcPr>
          <w:p>
            <w:pPr>
              <w:spacing w:after="0"/>
              <w:rPr>
                <w:rFonts w:ascii="Arial" w:cs="Arial" w:eastAsia="Arial" w:hAnsi="Arial"/>
                <w:sz w:val="18"/>
                <w:szCs w:val="18"/>
                <w:color w:val="0000EE"/>
              </w:rPr>
            </w:pPr>
            <w:hyperlink w:anchor="page284">
              <w:r>
                <w:rPr>
                  <w:rFonts w:ascii="Arial" w:cs="Arial" w:eastAsia="Arial" w:hAnsi="Arial"/>
                  <w:sz w:val="18"/>
                  <w:szCs w:val="18"/>
                  <w:color w:val="0000EE"/>
                </w:rPr>
                <w:t>Certification of Co-Chief Executive Officer pursuant to Section 906 of The Sarbanes-Oxley Act of 2002.*</w:t>
              </w:r>
            </w:hyperlink>
          </w:p>
        </w:tc>
        <w:tc>
          <w:tcPr>
            <w:tcW w:w="0" w:type="dxa"/>
            <w:vAlign w:val="bottom"/>
          </w:tcPr>
          <w:p>
            <w:pPr>
              <w:spacing w:after="0"/>
              <w:rPr>
                <w:sz w:val="1"/>
                <w:szCs w:val="1"/>
                <w:color w:val="auto"/>
              </w:rPr>
            </w:pPr>
          </w:p>
        </w:tc>
      </w:tr>
      <w:tr>
        <w:trPr>
          <w:trHeight w:val="302"/>
        </w:trPr>
        <w:tc>
          <w:tcPr>
            <w:tcW w:w="520" w:type="dxa"/>
            <w:vAlign w:val="bottom"/>
          </w:tcPr>
          <w:p>
            <w:pPr>
              <w:spacing w:after="0"/>
              <w:rPr>
                <w:sz w:val="20"/>
                <w:szCs w:val="20"/>
                <w:color w:val="auto"/>
              </w:rPr>
            </w:pPr>
            <w:r>
              <w:rPr>
                <w:rFonts w:ascii="Arial" w:cs="Arial" w:eastAsia="Arial" w:hAnsi="Arial"/>
                <w:sz w:val="18"/>
                <w:szCs w:val="18"/>
                <w:color w:val="auto"/>
              </w:rPr>
              <w:t>32.3</w:t>
            </w:r>
          </w:p>
        </w:tc>
        <w:tc>
          <w:tcPr>
            <w:tcW w:w="520" w:type="dxa"/>
            <w:vAlign w:val="bottom"/>
          </w:tcPr>
          <w:p>
            <w:pPr>
              <w:spacing w:after="0"/>
              <w:rPr>
                <w:sz w:val="24"/>
                <w:szCs w:val="24"/>
                <w:color w:val="auto"/>
              </w:rPr>
            </w:pPr>
          </w:p>
        </w:tc>
        <w:tc>
          <w:tcPr>
            <w:tcW w:w="7600" w:type="dxa"/>
            <w:vAlign w:val="bottom"/>
            <w:tcBorders>
              <w:top w:val="single" w:sz="8" w:color="0000EE"/>
            </w:tcBorders>
            <w:gridSpan w:val="3"/>
          </w:tcPr>
          <w:p>
            <w:pPr>
              <w:spacing w:after="0"/>
              <w:rPr>
                <w:rFonts w:ascii="Arial" w:cs="Arial" w:eastAsia="Arial" w:hAnsi="Arial"/>
                <w:sz w:val="18"/>
                <w:szCs w:val="18"/>
                <w:color w:val="0000EE"/>
                <w:w w:val="95"/>
              </w:rPr>
            </w:pPr>
            <w:hyperlink w:anchor="page285">
              <w:r>
                <w:rPr>
                  <w:rFonts w:ascii="Arial" w:cs="Arial" w:eastAsia="Arial" w:hAnsi="Arial"/>
                  <w:sz w:val="18"/>
                  <w:szCs w:val="18"/>
                  <w:color w:val="0000EE"/>
                  <w:w w:val="95"/>
                </w:rPr>
                <w:t>Certification of Chief Financial Officer pursuant to Section 906 of The Sarbanes-Oxley Act of 2002.*</w:t>
              </w:r>
            </w:hyperlink>
          </w:p>
        </w:tc>
        <w:tc>
          <w:tcPr>
            <w:tcW w:w="2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102235</wp:posOffset>
            </wp:positionV>
            <wp:extent cx="7677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67715" cy="8255"/>
                    </a:xfrm>
                    <a:prstGeom prst="rect">
                      <a:avLst/>
                    </a:prstGeom>
                    <a:noFill/>
                  </pic:spPr>
                </pic:pic>
              </a:graphicData>
            </a:graphic>
          </wp:anchor>
        </w:drawing>
      </w:r>
    </w:p>
    <w:p>
      <w:pPr>
        <w:spacing w:after="0" w:line="181" w:lineRule="exact"/>
        <w:rPr>
          <w:sz w:val="20"/>
          <w:szCs w:val="20"/>
          <w:color w:val="auto"/>
        </w:rPr>
      </w:pPr>
    </w:p>
    <w:p>
      <w:pPr>
        <w:ind w:left="580" w:right="900" w:hanging="438"/>
        <w:spacing w:after="0" w:line="257"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Investment Corp.’s registration statement on Form N-2 Pre-Effective Amendment No. 7 (File No. 333-148734) filed on January 7, 2010.</w:t>
      </w:r>
    </w:p>
    <w:p>
      <w:pPr>
        <w:spacing w:after="0" w:line="1" w:lineRule="exact"/>
        <w:rPr>
          <w:rFonts w:ascii="Arial" w:cs="Arial" w:eastAsia="Arial" w:hAnsi="Arial"/>
          <w:sz w:val="18"/>
          <w:szCs w:val="18"/>
          <w:color w:val="auto"/>
        </w:rPr>
      </w:pPr>
    </w:p>
    <w:p>
      <w:pPr>
        <w:ind w:left="580" w:hanging="438"/>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Previously filed in connection with SLR Investment Corp.’s registration statement on Form N-2 (File No 333-148734) filed on February 9, 2010.</w:t>
      </w:r>
    </w:p>
    <w:p>
      <w:pPr>
        <w:spacing w:after="0" w:line="31" w:lineRule="exact"/>
        <w:rPr>
          <w:rFonts w:ascii="Arial" w:cs="Arial" w:eastAsia="Arial" w:hAnsi="Arial"/>
          <w:sz w:val="16"/>
          <w:szCs w:val="16"/>
          <w:color w:val="auto"/>
        </w:rPr>
      </w:pPr>
    </w:p>
    <w:p>
      <w:pPr>
        <w:ind w:left="580" w:hanging="43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Previously filed in connection with SLR Senior Investment Corp.’s report on Form 8-K (File No. 814-00849) filed on August 31, 2011.</w:t>
      </w:r>
    </w:p>
    <w:p>
      <w:pPr>
        <w:spacing w:after="0" w:line="19" w:lineRule="exact"/>
        <w:rPr>
          <w:rFonts w:ascii="Arial" w:cs="Arial" w:eastAsia="Arial" w:hAnsi="Arial"/>
          <w:sz w:val="17"/>
          <w:szCs w:val="17"/>
          <w:color w:val="auto"/>
        </w:rPr>
      </w:pPr>
    </w:p>
    <w:p>
      <w:pPr>
        <w:ind w:left="580" w:right="840" w:hanging="438"/>
        <w:spacing w:after="0" w:line="24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Investment Corp.’s registration statement on Form N-2 Post-Effective Amendment No. 6 (File No. 333-172968) filed on November 16, 2012.</w:t>
      </w:r>
    </w:p>
    <w:p>
      <w:pPr>
        <w:ind w:left="580" w:right="840" w:hanging="438"/>
        <w:spacing w:after="0" w:line="249"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Investment Corp.’s registration statement on Form N-2 Post-Effective Amendment No. 5 (File No. 333-194870) filed on November 22, 2017.</w:t>
      </w:r>
    </w:p>
    <w:p>
      <w:pPr>
        <w:ind w:left="580" w:hanging="43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Senior Investment Corp.’s report on Form 10-Q (File No. 814-00849) filed on May 7, 2020.</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Investment Corp.’s report on Form 8-K filed on December 1, 2021.</w:t>
      </w:r>
    </w:p>
    <w:p>
      <w:pPr>
        <w:spacing w:after="0" w:line="8" w:lineRule="exact"/>
        <w:rPr>
          <w:rFonts w:ascii="Arial" w:cs="Arial" w:eastAsia="Arial" w:hAnsi="Arial"/>
          <w:sz w:val="18"/>
          <w:szCs w:val="18"/>
          <w:color w:val="auto"/>
        </w:rPr>
      </w:pPr>
    </w:p>
    <w:p>
      <w:pPr>
        <w:ind w:left="580" w:hanging="43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Previously filed in connection with SLR Investment Corp.’s report on Form 8-K filed on April 1, 2022.</w:t>
      </w:r>
    </w:p>
    <w:p>
      <w:pPr>
        <w:spacing w:after="0" w:line="8" w:lineRule="exact"/>
        <w:rPr>
          <w:sz w:val="20"/>
          <w:szCs w:val="20"/>
          <w:color w:val="auto"/>
        </w:rPr>
      </w:pPr>
    </w:p>
    <w:p>
      <w:pPr>
        <w:ind w:left="580" w:hanging="43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8"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left="140" w:firstLine="438"/>
        <w:spacing w:after="0" w:line="27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May 3, 2022.</w:t>
      </w:r>
    </w:p>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SLR INVESTMENT CORP.</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/s/ M</w:t>
      </w:r>
      <w:r>
        <w:rPr>
          <w:rFonts w:ascii="Arial" w:cs="Arial" w:eastAsia="Arial" w:hAnsi="Arial"/>
          <w:sz w:val="14"/>
          <w:szCs w:val="14"/>
          <w:color w:val="auto"/>
        </w:rPr>
        <w:t>ICHAEL</w:t>
      </w:r>
      <w:r>
        <w:rPr>
          <w:rFonts w:ascii="Arial" w:cs="Arial" w:eastAsia="Arial" w:hAnsi="Arial"/>
          <w:sz w:val="18"/>
          <w:szCs w:val="18"/>
          <w:color w:val="auto"/>
        </w:rPr>
        <w:t xml:space="preserve"> S. G</w:t>
      </w:r>
      <w:r>
        <w:rPr>
          <w:rFonts w:ascii="Arial" w:cs="Arial" w:eastAsia="Arial" w:hAnsi="Arial"/>
          <w:sz w:val="14"/>
          <w:szCs w:val="14"/>
          <w:color w:val="auto"/>
        </w:rPr>
        <w: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13970</wp:posOffset>
            </wp:positionV>
            <wp:extent cx="25850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Michael S. Gross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Co-Chief Executive Officer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(Principal Executive Officer)</w:t>
      </w:r>
    </w:p>
    <w:p>
      <w:pPr>
        <w:spacing w:after="0" w:line="22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/s/ B</w:t>
      </w:r>
      <w:r>
        <w:rPr>
          <w:rFonts w:ascii="Arial" w:cs="Arial" w:eastAsia="Arial" w:hAnsi="Arial"/>
          <w:sz w:val="14"/>
          <w:szCs w:val="14"/>
          <w:color w:val="auto"/>
        </w:rPr>
        <w:t>RUCE</w:t>
      </w:r>
      <w:r>
        <w:rPr>
          <w:rFonts w:ascii="Arial" w:cs="Arial" w:eastAsia="Arial" w:hAnsi="Arial"/>
          <w:sz w:val="18"/>
          <w:szCs w:val="18"/>
          <w:color w:val="auto"/>
        </w:rPr>
        <w:t xml:space="preserve"> J. S</w:t>
      </w:r>
      <w:r>
        <w:rPr>
          <w:rFonts w:ascii="Arial" w:cs="Arial" w:eastAsia="Arial" w:hAnsi="Arial"/>
          <w:sz w:val="14"/>
          <w:szCs w:val="14"/>
          <w:color w:val="auto"/>
        </w:rPr>
        <w:t>POHLER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13970</wp:posOffset>
            </wp:positionV>
            <wp:extent cx="25850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Bruce J. Spohler</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Co-Chief Executive Officer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(Principal Executive Officer)</w:t>
      </w:r>
    </w:p>
    <w:p>
      <w:pPr>
        <w:spacing w:after="0" w:line="222" w:lineRule="exact"/>
        <w:rPr>
          <w:sz w:val="20"/>
          <w:szCs w:val="20"/>
          <w:color w:val="auto"/>
        </w:rPr>
      </w:pPr>
    </w:p>
    <w:p>
      <w:pPr>
        <w:jc w:val="center"/>
        <w:ind w:right="8700"/>
        <w:spacing w:after="0"/>
        <w:rPr>
          <w:sz w:val="20"/>
          <w:szCs w:val="20"/>
          <w:color w:val="auto"/>
        </w:rPr>
      </w:pPr>
      <w:r>
        <w:rPr>
          <w:rFonts w:ascii="Arial" w:cs="Arial" w:eastAsia="Arial" w:hAnsi="Arial"/>
          <w:sz w:val="18"/>
          <w:szCs w:val="18"/>
          <w:color w:val="auto"/>
        </w:rPr>
        <w:t>By: /s/ R</w:t>
      </w:r>
      <w:r>
        <w:rPr>
          <w:rFonts w:ascii="Arial" w:cs="Arial" w:eastAsia="Arial" w:hAnsi="Arial"/>
          <w:sz w:val="14"/>
          <w:szCs w:val="14"/>
          <w:color w:val="auto"/>
        </w:rPr>
        <w:t>ICHARD</w:t>
      </w:r>
      <w:r>
        <w:rPr>
          <w:rFonts w:ascii="Arial" w:cs="Arial" w:eastAsia="Arial" w:hAnsi="Arial"/>
          <w:sz w:val="18"/>
          <w:szCs w:val="18"/>
          <w:color w:val="auto"/>
        </w:rPr>
        <w:t xml:space="preserve"> L. P</w:t>
      </w:r>
      <w:r>
        <w:rPr>
          <w:rFonts w:ascii="Arial" w:cs="Arial" w:eastAsia="Arial" w:hAnsi="Arial"/>
          <w:sz w:val="14"/>
          <w:szCs w:val="14"/>
          <w:color w:val="auto"/>
        </w:rPr>
        <w:t>ETEKA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13970</wp:posOffset>
            </wp:positionV>
            <wp:extent cx="25850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58508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Richard L. Peteka</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Chief Financial Officer</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3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8" w:right="4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10.2</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through Tenth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38735</wp:posOffset>
            </wp:positionV>
            <wp:extent cx="69621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81915</wp:posOffset>
            </wp:positionV>
            <wp:extent cx="69621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pacing w:after="0" w:line="319"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LOAN AND SERVICING AGREEMENT</w:t>
      </w:r>
    </w:p>
    <w:p>
      <w:pPr>
        <w:spacing w:after="0" w:line="22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among</w:t>
      </w:r>
    </w:p>
    <w:p>
      <w:pPr>
        <w:spacing w:after="0" w:line="21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SUNS SPV LLC</w:t>
      </w:r>
      <w:r>
        <w:rPr>
          <w:rFonts w:ascii="Arial" w:cs="Arial" w:eastAsia="Arial" w:hAnsi="Arial"/>
          <w:sz w:val="18"/>
          <w:szCs w:val="18"/>
          <w:color w:val="auto"/>
        </w:rPr>
        <w:t>,</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the Borrower,</w:t>
      </w:r>
    </w:p>
    <w:p>
      <w:pPr>
        <w:spacing w:after="0" w:line="204"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SLR SENIOR INVESTMENT CORP. (F/K/A SOLAR SENIOR CAPITAL LTD.)</w:t>
      </w:r>
      <w:r>
        <w:rPr>
          <w:rFonts w:ascii="Arial" w:cs="Arial" w:eastAsia="Arial" w:hAnsi="Arial"/>
          <w:sz w:val="17"/>
          <w:szCs w:val="17"/>
          <w:color w:val="auto"/>
        </w:rPr>
        <w:t>,</w:t>
      </w:r>
    </w:p>
    <w:p>
      <w:pPr>
        <w:spacing w:after="0" w:line="3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the Servicer and the Transferor,</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Each of the Conduit Lenders</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from time to time party hereto,</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Each of the Liquidity Banks</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from time to time party hereto,</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Each of the Lender Agents</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from time to time party hereto,</w:t>
      </w:r>
    </w:p>
    <w:p>
      <w:pPr>
        <w:spacing w:after="0" w:line="20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the Collateral Agent,</w:t>
      </w:r>
    </w:p>
    <w:p>
      <w:pPr>
        <w:spacing w:after="0" w:line="204"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WELLS FARGO BANK, N.A.</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the Account Bank, the Backup Servicer and the Collateral Custodian,</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96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27"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the Administrative Agent</w:t>
      </w:r>
    </w:p>
    <w:p>
      <w:pPr>
        <w:spacing w:after="0" w:line="20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Dated as of August 26, 2011</w:t>
      </w:r>
    </w:p>
    <w:p>
      <w:pPr>
        <w:spacing w:after="0" w:line="23"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(as amended through the Tenth Amendment,</w:t>
      </w:r>
    </w:p>
    <w:p>
      <w:pPr>
        <w:spacing w:after="0" w:line="8" w:lineRule="exact"/>
        <w:rPr>
          <w:sz w:val="20"/>
          <w:szCs w:val="20"/>
          <w:color w:val="auto"/>
        </w:rPr>
      </w:pPr>
    </w:p>
    <w:p>
      <w:pPr>
        <w:jc w:val="center"/>
        <w:ind w:right="960"/>
        <w:spacing w:after="0"/>
        <w:rPr>
          <w:sz w:val="20"/>
          <w:szCs w:val="20"/>
          <w:color w:val="auto"/>
        </w:rPr>
      </w:pPr>
      <w:r>
        <w:rPr>
          <w:rFonts w:ascii="Arial" w:cs="Arial" w:eastAsia="Arial" w:hAnsi="Arial"/>
          <w:sz w:val="18"/>
          <w:szCs w:val="18"/>
          <w:color w:val="auto"/>
        </w:rPr>
        <w:t>dated as of December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167005</wp:posOffset>
            </wp:positionV>
            <wp:extent cx="69621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696214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209550</wp:posOffset>
            </wp:positionV>
            <wp:extent cx="69621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62140" cy="8255"/>
                    </a:xfrm>
                    <a:prstGeom prst="rect">
                      <a:avLst/>
                    </a:prstGeom>
                    <a:noFill/>
                  </pic:spPr>
                </pic:pic>
              </a:graphicData>
            </a:graphic>
          </wp:anchor>
        </w:drawing>
      </w:r>
    </w:p>
    <w:p>
      <w:pPr>
        <w:sectPr>
          <w:pgSz w:w="11900" w:h="16838" w:orient="portrait"/>
          <w:cols w:equalWidth="0" w:num="1">
            <w:col w:w="9980"/>
          </w:cols>
          <w:pgMar w:left="1440" w:top="121" w:right="4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9440" w:type="dxa"/>
            <w:vAlign w:val="bottom"/>
          </w:tcPr>
          <w:p>
            <w:pPr>
              <w:ind w:left="338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r>
      <w:tr>
        <w:trPr>
          <w:trHeight w:val="389"/>
        </w:trPr>
        <w:tc>
          <w:tcPr>
            <w:tcW w:w="120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410"/>
        </w:trPr>
        <w:tc>
          <w:tcPr>
            <w:tcW w:w="1200" w:type="dxa"/>
            <w:vAlign w:val="bottom"/>
          </w:tcPr>
          <w:p>
            <w:pPr>
              <w:spacing w:after="0"/>
              <w:rPr>
                <w:sz w:val="24"/>
                <w:szCs w:val="24"/>
                <w:color w:val="auto"/>
              </w:rPr>
            </w:pPr>
          </w:p>
        </w:tc>
        <w:tc>
          <w:tcPr>
            <w:tcW w:w="9440" w:type="dxa"/>
            <w:vAlign w:val="bottom"/>
          </w:tcPr>
          <w:p>
            <w:pPr>
              <w:jc w:val="center"/>
              <w:ind w:right="830"/>
              <w:spacing w:after="0"/>
              <w:rPr>
                <w:sz w:val="20"/>
                <w:szCs w:val="20"/>
                <w:color w:val="auto"/>
              </w:rPr>
            </w:pPr>
            <w:r>
              <w:rPr>
                <w:rFonts w:ascii="Arial" w:cs="Arial" w:eastAsia="Arial" w:hAnsi="Arial"/>
                <w:sz w:val="18"/>
                <w:szCs w:val="18"/>
                <w:color w:val="auto"/>
                <w:w w:val="97"/>
              </w:rPr>
              <w:t>ARTICLE I</w:t>
            </w:r>
          </w:p>
        </w:tc>
        <w:tc>
          <w:tcPr>
            <w:tcW w:w="280" w:type="dxa"/>
            <w:vAlign w:val="bottom"/>
          </w:tcPr>
          <w:p>
            <w:pPr>
              <w:spacing w:after="0"/>
              <w:rPr>
                <w:sz w:val="24"/>
                <w:szCs w:val="24"/>
                <w:color w:val="auto"/>
              </w:rPr>
            </w:pPr>
          </w:p>
        </w:tc>
      </w:tr>
      <w:tr>
        <w:trPr>
          <w:trHeight w:val="430"/>
        </w:trPr>
        <w:tc>
          <w:tcPr>
            <w:tcW w:w="1200" w:type="dxa"/>
            <w:vAlign w:val="bottom"/>
          </w:tcPr>
          <w:p>
            <w:pPr>
              <w:spacing w:after="0"/>
              <w:rPr>
                <w:sz w:val="24"/>
                <w:szCs w:val="24"/>
                <w:color w:val="auto"/>
              </w:rPr>
            </w:pPr>
          </w:p>
        </w:tc>
        <w:tc>
          <w:tcPr>
            <w:tcW w:w="9440" w:type="dxa"/>
            <w:vAlign w:val="bottom"/>
          </w:tcPr>
          <w:p>
            <w:pPr>
              <w:jc w:val="center"/>
              <w:ind w:right="830"/>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1.01</w:t>
            </w:r>
          </w:p>
        </w:tc>
        <w:tc>
          <w:tcPr>
            <w:tcW w:w="9440" w:type="dxa"/>
            <w:vAlign w:val="bottom"/>
          </w:tcPr>
          <w:p>
            <w:pPr>
              <w:ind w:left="320"/>
              <w:spacing w:after="0"/>
              <w:rPr>
                <w:sz w:val="20"/>
                <w:szCs w:val="20"/>
                <w:color w:val="auto"/>
              </w:rPr>
            </w:pPr>
            <w:r>
              <w:rPr>
                <w:rFonts w:ascii="Arial" w:cs="Arial" w:eastAsia="Arial" w:hAnsi="Arial"/>
                <w:sz w:val="18"/>
                <w:szCs w:val="18"/>
                <w:color w:val="auto"/>
              </w:rPr>
              <w:t>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1.02</w:t>
            </w:r>
          </w:p>
        </w:tc>
        <w:tc>
          <w:tcPr>
            <w:tcW w:w="9440" w:type="dxa"/>
            <w:vAlign w:val="bottom"/>
          </w:tcPr>
          <w:p>
            <w:pPr>
              <w:ind w:left="320"/>
              <w:spacing w:after="0"/>
              <w:rPr>
                <w:sz w:val="20"/>
                <w:szCs w:val="20"/>
                <w:color w:val="auto"/>
              </w:rPr>
            </w:pPr>
            <w:r>
              <w:rPr>
                <w:rFonts w:ascii="Arial" w:cs="Arial" w:eastAsia="Arial" w:hAnsi="Arial"/>
                <w:sz w:val="18"/>
                <w:szCs w:val="18"/>
                <w:color w:val="auto"/>
              </w:rPr>
              <w:t>Other Terms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1.03</w:t>
            </w:r>
          </w:p>
        </w:tc>
        <w:tc>
          <w:tcPr>
            <w:tcW w:w="9440" w:type="dxa"/>
            <w:vAlign w:val="bottom"/>
          </w:tcPr>
          <w:p>
            <w:pPr>
              <w:ind w:left="320"/>
              <w:spacing w:after="0"/>
              <w:rPr>
                <w:sz w:val="20"/>
                <w:szCs w:val="20"/>
                <w:color w:val="auto"/>
              </w:rPr>
            </w:pPr>
            <w:r>
              <w:rPr>
                <w:rFonts w:ascii="Arial" w:cs="Arial" w:eastAsia="Arial" w:hAnsi="Arial"/>
                <w:sz w:val="18"/>
                <w:szCs w:val="18"/>
                <w:color w:val="auto"/>
              </w:rPr>
              <w:t>Computation of Time Periods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1.04</w:t>
            </w:r>
          </w:p>
        </w:tc>
        <w:tc>
          <w:tcPr>
            <w:tcW w:w="9440" w:type="dxa"/>
            <w:vAlign w:val="bottom"/>
          </w:tcPr>
          <w:p>
            <w:pPr>
              <w:ind w:left="32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30"/>
        </w:trPr>
        <w:tc>
          <w:tcPr>
            <w:tcW w:w="1200" w:type="dxa"/>
            <w:vAlign w:val="bottom"/>
          </w:tcPr>
          <w:p>
            <w:pPr>
              <w:spacing w:after="0"/>
              <w:rPr>
                <w:sz w:val="24"/>
                <w:szCs w:val="24"/>
                <w:color w:val="auto"/>
              </w:rPr>
            </w:pPr>
          </w:p>
        </w:tc>
        <w:tc>
          <w:tcPr>
            <w:tcW w:w="9440" w:type="dxa"/>
            <w:vAlign w:val="bottom"/>
          </w:tcPr>
          <w:p>
            <w:pPr>
              <w:jc w:val="center"/>
              <w:ind w:right="83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r>
      <w:tr>
        <w:trPr>
          <w:trHeight w:val="430"/>
        </w:trPr>
        <w:tc>
          <w:tcPr>
            <w:tcW w:w="1200" w:type="dxa"/>
            <w:vAlign w:val="bottom"/>
          </w:tcPr>
          <w:p>
            <w:pPr>
              <w:spacing w:after="0"/>
              <w:rPr>
                <w:sz w:val="24"/>
                <w:szCs w:val="24"/>
                <w:color w:val="auto"/>
              </w:rPr>
            </w:pPr>
          </w:p>
        </w:tc>
        <w:tc>
          <w:tcPr>
            <w:tcW w:w="9440" w:type="dxa"/>
            <w:vAlign w:val="bottom"/>
          </w:tcPr>
          <w:p>
            <w:pPr>
              <w:jc w:val="center"/>
              <w:ind w:right="830"/>
              <w:spacing w:after="0"/>
              <w:rPr>
                <w:sz w:val="20"/>
                <w:szCs w:val="20"/>
                <w:color w:val="auto"/>
              </w:rPr>
            </w:pPr>
            <w:r>
              <w:rPr>
                <w:rFonts w:ascii="Arial" w:cs="Arial" w:eastAsia="Arial" w:hAnsi="Arial"/>
                <w:sz w:val="18"/>
                <w:szCs w:val="18"/>
                <w:color w:val="auto"/>
                <w:w w:val="99"/>
              </w:rPr>
              <w:t>THE FACILITY</w:t>
            </w:r>
          </w:p>
        </w:tc>
        <w:tc>
          <w:tcPr>
            <w:tcW w:w="28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2.01</w:t>
            </w:r>
          </w:p>
        </w:tc>
        <w:tc>
          <w:tcPr>
            <w:tcW w:w="9440" w:type="dxa"/>
            <w:vAlign w:val="bottom"/>
          </w:tcPr>
          <w:p>
            <w:pPr>
              <w:ind w:left="320"/>
              <w:spacing w:after="0"/>
              <w:rPr>
                <w:sz w:val="20"/>
                <w:szCs w:val="20"/>
                <w:color w:val="auto"/>
              </w:rPr>
            </w:pPr>
            <w:r>
              <w:rPr>
                <w:rFonts w:ascii="Arial" w:cs="Arial" w:eastAsia="Arial" w:hAnsi="Arial"/>
                <w:sz w:val="18"/>
                <w:szCs w:val="18"/>
                <w:color w:val="auto"/>
              </w:rPr>
              <w:t>Revolving Note and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2.02</w:t>
            </w:r>
          </w:p>
        </w:tc>
        <w:tc>
          <w:tcPr>
            <w:tcW w:w="9440" w:type="dxa"/>
            <w:vAlign w:val="bottom"/>
          </w:tcPr>
          <w:p>
            <w:pPr>
              <w:ind w:left="320"/>
              <w:spacing w:after="0"/>
              <w:rPr>
                <w:sz w:val="20"/>
                <w:szCs w:val="20"/>
                <w:color w:val="auto"/>
              </w:rPr>
            </w:pPr>
            <w:r>
              <w:rPr>
                <w:rFonts w:ascii="Arial" w:cs="Arial" w:eastAsia="Arial" w:hAnsi="Arial"/>
                <w:sz w:val="18"/>
                <w:szCs w:val="18"/>
                <w:color w:val="auto"/>
              </w:rPr>
              <w:t>Procedure for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2.03</w:t>
            </w:r>
          </w:p>
        </w:tc>
        <w:tc>
          <w:tcPr>
            <w:tcW w:w="9440" w:type="dxa"/>
            <w:vAlign w:val="bottom"/>
          </w:tcPr>
          <w:p>
            <w:pPr>
              <w:ind w:left="320"/>
              <w:spacing w:after="0"/>
              <w:rPr>
                <w:sz w:val="20"/>
                <w:szCs w:val="20"/>
                <w:color w:val="auto"/>
              </w:rPr>
            </w:pPr>
            <w:r>
              <w:rPr>
                <w:rFonts w:ascii="Arial" w:cs="Arial" w:eastAsia="Arial" w:hAnsi="Arial"/>
                <w:sz w:val="18"/>
                <w:szCs w:val="18"/>
                <w:color w:val="auto"/>
              </w:rPr>
              <w:t>Determination of Yield; Conversions of Advances; Limitations on Fixed LIBOR Advances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2.04</w:t>
            </w:r>
          </w:p>
        </w:tc>
        <w:tc>
          <w:tcPr>
            <w:tcW w:w="9440" w:type="dxa"/>
            <w:vAlign w:val="bottom"/>
          </w:tcPr>
          <w:p>
            <w:pPr>
              <w:ind w:left="320"/>
              <w:spacing w:after="0"/>
              <w:rPr>
                <w:sz w:val="20"/>
                <w:szCs w:val="20"/>
                <w:color w:val="auto"/>
              </w:rPr>
            </w:pPr>
            <w:r>
              <w:rPr>
                <w:rFonts w:ascii="Arial" w:cs="Arial" w:eastAsia="Arial" w:hAnsi="Arial"/>
                <w:sz w:val="18"/>
                <w:szCs w:val="18"/>
                <w:color w:val="auto"/>
              </w:rPr>
              <w:t>Remittance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2.05</w:t>
            </w:r>
          </w:p>
        </w:tc>
        <w:tc>
          <w:tcPr>
            <w:tcW w:w="9440" w:type="dxa"/>
            <w:vAlign w:val="bottom"/>
          </w:tcPr>
          <w:p>
            <w:pPr>
              <w:ind w:left="320"/>
              <w:spacing w:after="0"/>
              <w:rPr>
                <w:sz w:val="20"/>
                <w:szCs w:val="20"/>
                <w:color w:val="auto"/>
              </w:rPr>
            </w:pPr>
            <w:r>
              <w:rPr>
                <w:rFonts w:ascii="Arial" w:cs="Arial" w:eastAsia="Arial" w:hAnsi="Arial"/>
                <w:sz w:val="18"/>
                <w:szCs w:val="18"/>
                <w:color w:val="auto"/>
              </w:rPr>
              <w:t>Instructions to the Collateral Agent and the Account Bank</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2.06</w:t>
            </w:r>
          </w:p>
        </w:tc>
        <w:tc>
          <w:tcPr>
            <w:tcW w:w="9440" w:type="dxa"/>
            <w:vAlign w:val="bottom"/>
          </w:tcPr>
          <w:p>
            <w:pPr>
              <w:ind w:left="320"/>
              <w:spacing w:after="0"/>
              <w:rPr>
                <w:sz w:val="20"/>
                <w:szCs w:val="20"/>
                <w:color w:val="auto"/>
              </w:rPr>
            </w:pPr>
            <w:r>
              <w:rPr>
                <w:rFonts w:ascii="Arial" w:cs="Arial" w:eastAsia="Arial" w:hAnsi="Arial"/>
                <w:sz w:val="18"/>
                <w:szCs w:val="18"/>
                <w:color w:val="auto"/>
              </w:rPr>
              <w:t>Borrowing Base Deficiency Payments and Foreign Currency Required Reduction Amounts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2.07</w:t>
            </w:r>
          </w:p>
        </w:tc>
        <w:tc>
          <w:tcPr>
            <w:tcW w:w="9440" w:type="dxa"/>
            <w:vAlign w:val="bottom"/>
          </w:tcPr>
          <w:p>
            <w:pPr>
              <w:ind w:left="320"/>
              <w:spacing w:after="0"/>
              <w:rPr>
                <w:sz w:val="20"/>
                <w:szCs w:val="20"/>
                <w:color w:val="auto"/>
              </w:rPr>
            </w:pPr>
            <w:r>
              <w:rPr>
                <w:rFonts w:ascii="Arial" w:cs="Arial" w:eastAsia="Arial" w:hAnsi="Arial"/>
                <w:sz w:val="18"/>
                <w:szCs w:val="18"/>
                <w:color w:val="auto"/>
              </w:rPr>
              <w:t>Substitution and Sale of Loan Assets; Affiliate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2.08</w:t>
            </w:r>
          </w:p>
        </w:tc>
        <w:tc>
          <w:tcPr>
            <w:tcW w:w="9440" w:type="dxa"/>
            <w:vAlign w:val="bottom"/>
          </w:tcPr>
          <w:p>
            <w:pPr>
              <w:ind w:left="320"/>
              <w:spacing w:after="0"/>
              <w:rPr>
                <w:sz w:val="20"/>
                <w:szCs w:val="20"/>
                <w:color w:val="auto"/>
              </w:rPr>
            </w:pPr>
            <w:r>
              <w:rPr>
                <w:rFonts w:ascii="Arial" w:cs="Arial" w:eastAsia="Arial" w:hAnsi="Arial"/>
                <w:sz w:val="18"/>
                <w:szCs w:val="18"/>
                <w:color w:val="auto"/>
              </w:rPr>
              <w:t>Payments and Computations, Etc.</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2.09</w:t>
            </w:r>
          </w:p>
        </w:tc>
        <w:tc>
          <w:tcPr>
            <w:tcW w:w="9440" w:type="dxa"/>
            <w:vAlign w:val="bottom"/>
          </w:tcPr>
          <w:p>
            <w:pPr>
              <w:ind w:left="320"/>
              <w:spacing w:after="0"/>
              <w:rPr>
                <w:sz w:val="20"/>
                <w:szCs w:val="20"/>
                <w:color w:val="auto"/>
              </w:rPr>
            </w:pPr>
            <w:r>
              <w:rPr>
                <w:rFonts w:ascii="Arial" w:cs="Arial" w:eastAsia="Arial" w:hAnsi="Arial"/>
                <w:sz w:val="18"/>
                <w:szCs w:val="18"/>
                <w:color w:val="auto"/>
              </w:rPr>
              <w:t>Undrawn Fee</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2.10</w:t>
            </w:r>
          </w:p>
        </w:tc>
        <w:tc>
          <w:tcPr>
            <w:tcW w:w="9440" w:type="dxa"/>
            <w:vAlign w:val="bottom"/>
          </w:tcPr>
          <w:p>
            <w:pPr>
              <w:ind w:left="320"/>
              <w:spacing w:after="0"/>
              <w:rPr>
                <w:sz w:val="20"/>
                <w:szCs w:val="20"/>
                <w:color w:val="auto"/>
              </w:rPr>
            </w:pPr>
            <w:r>
              <w:rPr>
                <w:rFonts w:ascii="Arial" w:cs="Arial" w:eastAsia="Arial" w:hAnsi="Arial"/>
                <w:sz w:val="18"/>
                <w:szCs w:val="18"/>
                <w:color w:val="auto"/>
              </w:rPr>
              <w:t>Increased Costs; Capital Adequacy</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2.11</w:t>
            </w:r>
          </w:p>
        </w:tc>
        <w:tc>
          <w:tcPr>
            <w:tcW w:w="9440" w:type="dxa"/>
            <w:vAlign w:val="bottom"/>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2.12</w:t>
            </w:r>
          </w:p>
        </w:tc>
        <w:tc>
          <w:tcPr>
            <w:tcW w:w="9440" w:type="dxa"/>
            <w:vAlign w:val="bottom"/>
          </w:tcPr>
          <w:p>
            <w:pPr>
              <w:ind w:left="320"/>
              <w:spacing w:after="0"/>
              <w:rPr>
                <w:sz w:val="20"/>
                <w:szCs w:val="20"/>
                <w:color w:val="auto"/>
              </w:rPr>
            </w:pPr>
            <w:r>
              <w:rPr>
                <w:rFonts w:ascii="Arial" w:cs="Arial" w:eastAsia="Arial" w:hAnsi="Arial"/>
                <w:sz w:val="18"/>
                <w:szCs w:val="18"/>
                <w:color w:val="auto"/>
              </w:rPr>
              <w:t>Collateral Assignment of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2.13</w:t>
            </w:r>
          </w:p>
        </w:tc>
        <w:tc>
          <w:tcPr>
            <w:tcW w:w="9440" w:type="dxa"/>
            <w:vAlign w:val="bottom"/>
          </w:tcPr>
          <w:p>
            <w:pPr>
              <w:ind w:left="320"/>
              <w:spacing w:after="0"/>
              <w:rPr>
                <w:sz w:val="20"/>
                <w:szCs w:val="20"/>
                <w:color w:val="auto"/>
              </w:rPr>
            </w:pPr>
            <w:r>
              <w:rPr>
                <w:rFonts w:ascii="Arial" w:cs="Arial" w:eastAsia="Arial" w:hAnsi="Arial"/>
                <w:sz w:val="18"/>
                <w:szCs w:val="18"/>
                <w:color w:val="auto"/>
              </w:rPr>
              <w:t>Grant of a 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2.14</w:t>
            </w:r>
          </w:p>
        </w:tc>
        <w:tc>
          <w:tcPr>
            <w:tcW w:w="9440" w:type="dxa"/>
            <w:vAlign w:val="bottom"/>
          </w:tcPr>
          <w:p>
            <w:pPr>
              <w:ind w:left="320"/>
              <w:spacing w:after="0"/>
              <w:rPr>
                <w:sz w:val="20"/>
                <w:szCs w:val="20"/>
                <w:color w:val="auto"/>
              </w:rPr>
            </w:pPr>
            <w:r>
              <w:rPr>
                <w:rFonts w:ascii="Arial" w:cs="Arial" w:eastAsia="Arial" w:hAnsi="Arial"/>
                <w:sz w:val="18"/>
                <w:szCs w:val="18"/>
                <w:color w:val="auto"/>
              </w:rPr>
              <w:t>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2.15</w:t>
            </w:r>
          </w:p>
        </w:tc>
        <w:tc>
          <w:tcPr>
            <w:tcW w:w="9440" w:type="dxa"/>
            <w:vAlign w:val="bottom"/>
          </w:tcPr>
          <w:p>
            <w:pPr>
              <w:ind w:left="320"/>
              <w:spacing w:after="0"/>
              <w:rPr>
                <w:sz w:val="20"/>
                <w:szCs w:val="20"/>
                <w:color w:val="auto"/>
              </w:rPr>
            </w:pPr>
            <w:r>
              <w:rPr>
                <w:rFonts w:ascii="Arial" w:cs="Arial" w:eastAsia="Arial" w:hAnsi="Arial"/>
                <w:sz w:val="18"/>
                <w:szCs w:val="18"/>
                <w:color w:val="auto"/>
              </w:rPr>
              <w:t>Survival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2.16</w:t>
            </w:r>
          </w:p>
        </w:tc>
        <w:tc>
          <w:tcPr>
            <w:tcW w:w="9440" w:type="dxa"/>
            <w:vAlign w:val="bottom"/>
          </w:tcPr>
          <w:p>
            <w:pPr>
              <w:ind w:left="320"/>
              <w:spacing w:after="0"/>
              <w:rPr>
                <w:sz w:val="20"/>
                <w:szCs w:val="20"/>
                <w:color w:val="auto"/>
              </w:rPr>
            </w:pPr>
            <w:r>
              <w:rPr>
                <w:rFonts w:ascii="Arial" w:cs="Arial" w:eastAsia="Arial" w:hAnsi="Arial"/>
                <w:sz w:val="18"/>
                <w:szCs w:val="18"/>
                <w:color w:val="auto"/>
              </w:rPr>
              <w:t>Release of Loan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2.17</w:t>
            </w:r>
          </w:p>
        </w:tc>
        <w:tc>
          <w:tcPr>
            <w:tcW w:w="9440" w:type="dxa"/>
            <w:vAlign w:val="bottom"/>
          </w:tcPr>
          <w:p>
            <w:pPr>
              <w:ind w:left="320"/>
              <w:spacing w:after="0"/>
              <w:rPr>
                <w:sz w:val="20"/>
                <w:szCs w:val="20"/>
                <w:color w:val="auto"/>
              </w:rPr>
            </w:pPr>
            <w:r>
              <w:rPr>
                <w:rFonts w:ascii="Arial" w:cs="Arial" w:eastAsia="Arial" w:hAnsi="Arial"/>
                <w:sz w:val="18"/>
                <w:szCs w:val="18"/>
                <w:color w:val="auto"/>
              </w:rPr>
              <w:t>Treatment of Amounts Deposited by the Borrower</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2.18</w:t>
            </w:r>
          </w:p>
        </w:tc>
        <w:tc>
          <w:tcPr>
            <w:tcW w:w="9440" w:type="dxa"/>
            <w:vAlign w:val="bottom"/>
          </w:tcPr>
          <w:p>
            <w:pPr>
              <w:ind w:left="320"/>
              <w:spacing w:after="0"/>
              <w:rPr>
                <w:sz w:val="20"/>
                <w:szCs w:val="20"/>
                <w:color w:val="auto"/>
              </w:rPr>
            </w:pPr>
            <w:r>
              <w:rPr>
                <w:rFonts w:ascii="Arial" w:cs="Arial" w:eastAsia="Arial" w:hAnsi="Arial"/>
                <w:sz w:val="18"/>
                <w:szCs w:val="18"/>
                <w:color w:val="auto"/>
              </w:rPr>
              <w:t>Mandatory and Voluntary Prepayments; Termination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2.19</w:t>
            </w:r>
          </w:p>
        </w:tc>
        <w:tc>
          <w:tcPr>
            <w:tcW w:w="9440" w:type="dxa"/>
            <w:vAlign w:val="bottom"/>
          </w:tcPr>
          <w:p>
            <w:pPr>
              <w:ind w:left="320"/>
              <w:spacing w:after="0"/>
              <w:rPr>
                <w:sz w:val="20"/>
                <w:szCs w:val="20"/>
                <w:color w:val="auto"/>
              </w:rPr>
            </w:pPr>
            <w:r>
              <w:rPr>
                <w:rFonts w:ascii="Arial" w:cs="Arial" w:eastAsia="Arial" w:hAnsi="Arial"/>
                <w:sz w:val="18"/>
                <w:szCs w:val="18"/>
                <w:color w:val="auto"/>
              </w:rPr>
              <w:t>Collections and Allocations</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2.20</w:t>
            </w:r>
          </w:p>
        </w:tc>
        <w:tc>
          <w:tcPr>
            <w:tcW w:w="9440" w:type="dxa"/>
            <w:vAlign w:val="bottom"/>
          </w:tcPr>
          <w:p>
            <w:pPr>
              <w:ind w:left="320"/>
              <w:spacing w:after="0"/>
              <w:rPr>
                <w:sz w:val="20"/>
                <w:szCs w:val="20"/>
                <w:color w:val="auto"/>
              </w:rPr>
            </w:pPr>
            <w:r>
              <w:rPr>
                <w:rFonts w:ascii="Arial" w:cs="Arial" w:eastAsia="Arial" w:hAnsi="Arial"/>
                <w:sz w:val="18"/>
                <w:szCs w:val="18"/>
                <w:color w:val="auto"/>
              </w:rPr>
              <w:t>Distributions From the URCA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2.21</w:t>
            </w:r>
          </w:p>
        </w:tc>
        <w:tc>
          <w:tcPr>
            <w:tcW w:w="9440" w:type="dxa"/>
            <w:vAlign w:val="bottom"/>
          </w:tcPr>
          <w:p>
            <w:pPr>
              <w:ind w:left="320"/>
              <w:spacing w:after="0"/>
              <w:rPr>
                <w:sz w:val="20"/>
                <w:szCs w:val="20"/>
                <w:color w:val="auto"/>
              </w:rPr>
            </w:pPr>
            <w:r>
              <w:rPr>
                <w:rFonts w:ascii="Arial" w:cs="Arial" w:eastAsia="Arial" w:hAnsi="Arial"/>
                <w:sz w:val="18"/>
                <w:szCs w:val="18"/>
                <w:color w:val="auto"/>
              </w:rPr>
              <w:t>[Intentionally Omitted]</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2.22</w:t>
            </w:r>
          </w:p>
        </w:tc>
        <w:tc>
          <w:tcPr>
            <w:tcW w:w="9440" w:type="dxa"/>
            <w:vAlign w:val="bottom"/>
          </w:tcPr>
          <w:p>
            <w:pPr>
              <w:ind w:left="320"/>
              <w:spacing w:after="0"/>
              <w:rPr>
                <w:sz w:val="20"/>
                <w:szCs w:val="20"/>
                <w:color w:val="auto"/>
              </w:rPr>
            </w:pPr>
            <w:r>
              <w:rPr>
                <w:rFonts w:ascii="Arial" w:cs="Arial" w:eastAsia="Arial" w:hAnsi="Arial"/>
                <w:sz w:val="18"/>
                <w:szCs w:val="18"/>
                <w:color w:val="auto"/>
              </w:rPr>
              <w:t>Reinvestment of Principal Collections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2.23</w:t>
            </w:r>
          </w:p>
        </w:tc>
        <w:tc>
          <w:tcPr>
            <w:tcW w:w="9440" w:type="dxa"/>
            <w:vAlign w:val="bottom"/>
          </w:tcPr>
          <w:p>
            <w:pPr>
              <w:ind w:left="320"/>
              <w:spacing w:after="0"/>
              <w:rPr>
                <w:sz w:val="20"/>
                <w:szCs w:val="20"/>
                <w:color w:val="auto"/>
              </w:rPr>
            </w:pPr>
            <w:r>
              <w:rPr>
                <w:rFonts w:ascii="Arial" w:cs="Arial" w:eastAsia="Arial" w:hAnsi="Arial"/>
                <w:sz w:val="18"/>
                <w:szCs w:val="18"/>
                <w:color w:val="auto"/>
              </w:rPr>
              <w:t>Extension of Scheduled Commitment Termination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2.24</w:t>
            </w:r>
          </w:p>
        </w:tc>
        <w:tc>
          <w:tcPr>
            <w:tcW w:w="9440" w:type="dxa"/>
            <w:vAlign w:val="bottom"/>
          </w:tcPr>
          <w:p>
            <w:pPr>
              <w:ind w:left="32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20"/>
          </w:cols>
          <w:pgMar w:left="460" w:top="273" w:right="5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1140" w:type="dxa"/>
            <w:vAlign w:val="bottom"/>
          </w:tcPr>
          <w:p>
            <w:pPr>
              <w:spacing w:after="0"/>
              <w:rPr>
                <w:sz w:val="19"/>
                <w:szCs w:val="19"/>
                <w:color w:val="auto"/>
              </w:rPr>
            </w:pP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4"/>
              </w:rPr>
              <w:t>CONDITIONS PRECEDENT</w:t>
            </w:r>
          </w:p>
        </w:tc>
        <w:tc>
          <w:tcPr>
            <w:tcW w:w="114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3.01</w:t>
            </w:r>
          </w:p>
        </w:tc>
        <w:tc>
          <w:tcPr>
            <w:tcW w:w="8580" w:type="dxa"/>
            <w:vAlign w:val="bottom"/>
          </w:tcPr>
          <w:p>
            <w:pPr>
              <w:ind w:left="320"/>
              <w:spacing w:after="0"/>
              <w:rPr>
                <w:sz w:val="20"/>
                <w:szCs w:val="20"/>
                <w:color w:val="auto"/>
              </w:rPr>
            </w:pPr>
            <w:r>
              <w:rPr>
                <w:rFonts w:ascii="Arial" w:cs="Arial" w:eastAsia="Arial" w:hAnsi="Arial"/>
                <w:sz w:val="18"/>
                <w:szCs w:val="18"/>
                <w:color w:val="auto"/>
              </w:rPr>
              <w:t>Conditions Precedent to Effectiveness</w:t>
            </w: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3.02</w:t>
            </w:r>
          </w:p>
        </w:tc>
        <w:tc>
          <w:tcPr>
            <w:tcW w:w="8580" w:type="dxa"/>
            <w:vAlign w:val="bottom"/>
          </w:tcPr>
          <w:p>
            <w:pPr>
              <w:ind w:left="320"/>
              <w:spacing w:after="0"/>
              <w:rPr>
                <w:sz w:val="20"/>
                <w:szCs w:val="20"/>
                <w:color w:val="auto"/>
              </w:rPr>
            </w:pPr>
            <w:r>
              <w:rPr>
                <w:rFonts w:ascii="Arial" w:cs="Arial" w:eastAsia="Arial" w:hAnsi="Arial"/>
                <w:sz w:val="18"/>
                <w:szCs w:val="18"/>
                <w:color w:val="auto"/>
              </w:rPr>
              <w:t>Conditions Precedent to All Advances</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3.03</w:t>
            </w:r>
          </w:p>
        </w:tc>
        <w:tc>
          <w:tcPr>
            <w:tcW w:w="8580" w:type="dxa"/>
            <w:vAlign w:val="bottom"/>
          </w:tcPr>
          <w:p>
            <w:pPr>
              <w:ind w:left="320"/>
              <w:spacing w:after="0"/>
              <w:rPr>
                <w:sz w:val="20"/>
                <w:szCs w:val="20"/>
                <w:color w:val="auto"/>
              </w:rPr>
            </w:pPr>
            <w:r>
              <w:rPr>
                <w:rFonts w:ascii="Arial" w:cs="Arial" w:eastAsia="Arial" w:hAnsi="Arial"/>
                <w:sz w:val="18"/>
                <w:szCs w:val="18"/>
                <w:color w:val="auto"/>
              </w:rPr>
              <w:t>Advances Do Not Constitute a Waiver</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3.04</w:t>
            </w:r>
          </w:p>
        </w:tc>
        <w:tc>
          <w:tcPr>
            <w:tcW w:w="8580" w:type="dxa"/>
            <w:vAlign w:val="bottom"/>
          </w:tcPr>
          <w:p>
            <w:pPr>
              <w:ind w:left="320"/>
              <w:spacing w:after="0"/>
              <w:rPr>
                <w:sz w:val="20"/>
                <w:szCs w:val="20"/>
                <w:color w:val="auto"/>
              </w:rPr>
            </w:pPr>
            <w:r>
              <w:rPr>
                <w:rFonts w:ascii="Arial" w:cs="Arial" w:eastAsia="Arial" w:hAnsi="Arial"/>
                <w:sz w:val="18"/>
                <w:szCs w:val="18"/>
                <w:color w:val="auto"/>
              </w:rPr>
              <w:t>Conditions to Pledges of Loan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9"/>
              </w:rPr>
              <w:t>ARTICLE IV</w:t>
            </w:r>
          </w:p>
        </w:tc>
        <w:tc>
          <w:tcPr>
            <w:tcW w:w="1140" w:type="dxa"/>
            <w:vAlign w:val="bottom"/>
          </w:tcPr>
          <w:p>
            <w:pPr>
              <w:spacing w:after="0"/>
              <w:rPr>
                <w:sz w:val="24"/>
                <w:szCs w:val="24"/>
                <w:color w:val="auto"/>
              </w:rPr>
            </w:pP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4"/>
              </w:rPr>
              <w:t>REPRESENTATIONS AND WARRANTIES</w:t>
            </w:r>
          </w:p>
        </w:tc>
        <w:tc>
          <w:tcPr>
            <w:tcW w:w="114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4.01</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the Borrower</w:t>
            </w:r>
          </w:p>
        </w:tc>
        <w:tc>
          <w:tcPr>
            <w:tcW w:w="11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4.02</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the Borrower Relating to the Agreement and the Collateral Portfolio</w:t>
            </w: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4.03</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4.04</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each Lender</w:t>
            </w:r>
          </w:p>
        </w:tc>
        <w:tc>
          <w:tcPr>
            <w:tcW w:w="11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4.05</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the Collateral Custodian</w:t>
            </w: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4.06</w:t>
            </w:r>
          </w:p>
        </w:tc>
        <w:tc>
          <w:tcPr>
            <w:tcW w:w="8580" w:type="dxa"/>
            <w:vAlign w:val="bottom"/>
          </w:tcPr>
          <w:p>
            <w:pPr>
              <w:ind w:left="320"/>
              <w:spacing w:after="0"/>
              <w:rPr>
                <w:sz w:val="20"/>
                <w:szCs w:val="20"/>
                <w:color w:val="auto"/>
              </w:rPr>
            </w:pPr>
            <w:r>
              <w:rPr>
                <w:rFonts w:ascii="Arial" w:cs="Arial" w:eastAsia="Arial" w:hAnsi="Arial"/>
                <w:sz w:val="18"/>
                <w:szCs w:val="18"/>
                <w:color w:val="auto"/>
              </w:rPr>
              <w:t>Representations and Warranties of the Backup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8"/>
              </w:rPr>
              <w:t>ARTICLE V</w:t>
            </w:r>
          </w:p>
        </w:tc>
        <w:tc>
          <w:tcPr>
            <w:tcW w:w="1140" w:type="dxa"/>
            <w:vAlign w:val="bottom"/>
          </w:tcPr>
          <w:p>
            <w:pPr>
              <w:spacing w:after="0"/>
              <w:rPr>
                <w:sz w:val="24"/>
                <w:szCs w:val="24"/>
                <w:color w:val="auto"/>
              </w:rPr>
            </w:pP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6"/>
              </w:rPr>
              <w:t>GENERAL COVENANTS</w:t>
            </w:r>
          </w:p>
        </w:tc>
        <w:tc>
          <w:tcPr>
            <w:tcW w:w="114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8580" w:type="dxa"/>
            <w:vAlign w:val="bottom"/>
          </w:tcPr>
          <w:p>
            <w:pPr>
              <w:ind w:left="320"/>
              <w:spacing w:after="0"/>
              <w:rPr>
                <w:sz w:val="20"/>
                <w:szCs w:val="20"/>
                <w:color w:val="auto"/>
              </w:rPr>
            </w:pPr>
            <w:r>
              <w:rPr>
                <w:rFonts w:ascii="Arial" w:cs="Arial" w:eastAsia="Arial" w:hAnsi="Arial"/>
                <w:sz w:val="18"/>
                <w:szCs w:val="18"/>
                <w:color w:val="auto"/>
              </w:rPr>
              <w:t>Affirmative Covenants of the Borrower</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580" w:type="dxa"/>
            <w:vAlign w:val="bottom"/>
          </w:tcPr>
          <w:p>
            <w:pPr>
              <w:ind w:left="320"/>
              <w:spacing w:after="0"/>
              <w:rPr>
                <w:sz w:val="20"/>
                <w:szCs w:val="20"/>
                <w:color w:val="auto"/>
              </w:rPr>
            </w:pPr>
            <w:r>
              <w:rPr>
                <w:rFonts w:ascii="Arial" w:cs="Arial" w:eastAsia="Arial" w:hAnsi="Arial"/>
                <w:sz w:val="18"/>
                <w:szCs w:val="18"/>
                <w:color w:val="auto"/>
              </w:rPr>
              <w:t>Negative Covenants of the Borrower</w:t>
            </w: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5.03</w:t>
            </w:r>
          </w:p>
        </w:tc>
        <w:tc>
          <w:tcPr>
            <w:tcW w:w="8580" w:type="dxa"/>
            <w:vAlign w:val="bottom"/>
          </w:tcPr>
          <w:p>
            <w:pPr>
              <w:ind w:left="320"/>
              <w:spacing w:after="0"/>
              <w:rPr>
                <w:sz w:val="20"/>
                <w:szCs w:val="20"/>
                <w:color w:val="auto"/>
              </w:rPr>
            </w:pPr>
            <w:r>
              <w:rPr>
                <w:rFonts w:ascii="Arial" w:cs="Arial" w:eastAsia="Arial" w:hAnsi="Arial"/>
                <w:sz w:val="18"/>
                <w:szCs w:val="18"/>
                <w:color w:val="auto"/>
              </w:rPr>
              <w:t>Affirmative Covenants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5.04</w:t>
            </w:r>
          </w:p>
        </w:tc>
        <w:tc>
          <w:tcPr>
            <w:tcW w:w="8580" w:type="dxa"/>
            <w:vAlign w:val="bottom"/>
          </w:tcPr>
          <w:p>
            <w:pPr>
              <w:ind w:left="320"/>
              <w:spacing w:after="0"/>
              <w:rPr>
                <w:sz w:val="20"/>
                <w:szCs w:val="20"/>
                <w:color w:val="auto"/>
              </w:rPr>
            </w:pPr>
            <w:r>
              <w:rPr>
                <w:rFonts w:ascii="Arial" w:cs="Arial" w:eastAsia="Arial" w:hAnsi="Arial"/>
                <w:sz w:val="18"/>
                <w:szCs w:val="18"/>
                <w:color w:val="auto"/>
              </w:rPr>
              <w:t>Negative Covenants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5.05</w:t>
            </w:r>
          </w:p>
        </w:tc>
        <w:tc>
          <w:tcPr>
            <w:tcW w:w="8580" w:type="dxa"/>
            <w:vAlign w:val="bottom"/>
          </w:tcPr>
          <w:p>
            <w:pPr>
              <w:ind w:left="320"/>
              <w:spacing w:after="0"/>
              <w:rPr>
                <w:sz w:val="20"/>
                <w:szCs w:val="20"/>
                <w:color w:val="auto"/>
              </w:rPr>
            </w:pPr>
            <w:r>
              <w:rPr>
                <w:rFonts w:ascii="Arial" w:cs="Arial" w:eastAsia="Arial" w:hAnsi="Arial"/>
                <w:sz w:val="18"/>
                <w:szCs w:val="18"/>
                <w:color w:val="auto"/>
              </w:rPr>
              <w:t>Affirmative Covenants of the Collateral Custodian</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5.06</w:t>
            </w:r>
          </w:p>
        </w:tc>
        <w:tc>
          <w:tcPr>
            <w:tcW w:w="8580" w:type="dxa"/>
            <w:vAlign w:val="bottom"/>
          </w:tcPr>
          <w:p>
            <w:pPr>
              <w:ind w:left="320"/>
              <w:spacing w:after="0"/>
              <w:rPr>
                <w:sz w:val="20"/>
                <w:szCs w:val="20"/>
                <w:color w:val="auto"/>
              </w:rPr>
            </w:pPr>
            <w:r>
              <w:rPr>
                <w:rFonts w:ascii="Arial" w:cs="Arial" w:eastAsia="Arial" w:hAnsi="Arial"/>
                <w:sz w:val="18"/>
                <w:szCs w:val="18"/>
                <w:color w:val="auto"/>
              </w:rPr>
              <w:t>Negative Covenants of the Collateral Custodian</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5.07</w:t>
            </w:r>
          </w:p>
        </w:tc>
        <w:tc>
          <w:tcPr>
            <w:tcW w:w="8580" w:type="dxa"/>
            <w:vAlign w:val="bottom"/>
          </w:tcPr>
          <w:p>
            <w:pPr>
              <w:ind w:left="320"/>
              <w:spacing w:after="0"/>
              <w:rPr>
                <w:sz w:val="20"/>
                <w:szCs w:val="20"/>
                <w:color w:val="auto"/>
              </w:rPr>
            </w:pPr>
            <w:r>
              <w:rPr>
                <w:rFonts w:ascii="Arial" w:cs="Arial" w:eastAsia="Arial" w:hAnsi="Arial"/>
                <w:sz w:val="18"/>
                <w:szCs w:val="18"/>
                <w:color w:val="auto"/>
              </w:rPr>
              <w:t>Affirmative Covenants of the Backup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5.08</w:t>
            </w:r>
          </w:p>
        </w:tc>
        <w:tc>
          <w:tcPr>
            <w:tcW w:w="8580" w:type="dxa"/>
            <w:vAlign w:val="bottom"/>
          </w:tcPr>
          <w:p>
            <w:pPr>
              <w:ind w:left="320"/>
              <w:spacing w:after="0"/>
              <w:rPr>
                <w:sz w:val="20"/>
                <w:szCs w:val="20"/>
                <w:color w:val="auto"/>
              </w:rPr>
            </w:pPr>
            <w:r>
              <w:rPr>
                <w:rFonts w:ascii="Arial" w:cs="Arial" w:eastAsia="Arial" w:hAnsi="Arial"/>
                <w:sz w:val="18"/>
                <w:szCs w:val="18"/>
                <w:color w:val="auto"/>
              </w:rPr>
              <w:t>Negative Covenants of the Backup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9"/>
              </w:rPr>
              <w:t>ARTICLE VI</w:t>
            </w:r>
          </w:p>
        </w:tc>
        <w:tc>
          <w:tcPr>
            <w:tcW w:w="1140" w:type="dxa"/>
            <w:vAlign w:val="bottom"/>
          </w:tcPr>
          <w:p>
            <w:pPr>
              <w:spacing w:after="0"/>
              <w:rPr>
                <w:sz w:val="24"/>
                <w:szCs w:val="24"/>
                <w:color w:val="auto"/>
              </w:rPr>
            </w:pPr>
          </w:p>
        </w:tc>
      </w:tr>
      <w:tr>
        <w:trPr>
          <w:trHeight w:val="430"/>
        </w:trPr>
        <w:tc>
          <w:tcPr>
            <w:tcW w:w="1200" w:type="dxa"/>
            <w:vAlign w:val="bottom"/>
          </w:tcPr>
          <w:p>
            <w:pPr>
              <w:spacing w:after="0"/>
              <w:rPr>
                <w:sz w:val="24"/>
                <w:szCs w:val="24"/>
                <w:color w:val="auto"/>
              </w:rPr>
            </w:pPr>
          </w:p>
        </w:tc>
        <w:tc>
          <w:tcPr>
            <w:tcW w:w="8580" w:type="dxa"/>
            <w:vAlign w:val="bottom"/>
          </w:tcPr>
          <w:p>
            <w:pPr>
              <w:jc w:val="center"/>
              <w:spacing w:after="0"/>
              <w:rPr>
                <w:sz w:val="20"/>
                <w:szCs w:val="20"/>
                <w:color w:val="auto"/>
              </w:rPr>
            </w:pPr>
            <w:r>
              <w:rPr>
                <w:rFonts w:ascii="Arial" w:cs="Arial" w:eastAsia="Arial" w:hAnsi="Arial"/>
                <w:sz w:val="18"/>
                <w:szCs w:val="18"/>
                <w:color w:val="auto"/>
                <w:w w:val="96"/>
              </w:rPr>
              <w:t>ADMINISTRATION AND SERVICING OF CONTRACTS</w:t>
            </w:r>
          </w:p>
        </w:tc>
        <w:tc>
          <w:tcPr>
            <w:tcW w:w="1140" w:type="dxa"/>
            <w:vAlign w:val="bottom"/>
          </w:tcPr>
          <w:p>
            <w:pPr>
              <w:spacing w:after="0"/>
              <w:rPr>
                <w:sz w:val="24"/>
                <w:szCs w:val="24"/>
                <w:color w:val="auto"/>
              </w:rPr>
            </w:pPr>
          </w:p>
        </w:tc>
      </w:tr>
      <w:tr>
        <w:trPr>
          <w:trHeight w:val="415"/>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580" w:type="dxa"/>
            <w:vAlign w:val="bottom"/>
          </w:tcPr>
          <w:p>
            <w:pPr>
              <w:ind w:left="320"/>
              <w:spacing w:after="0"/>
              <w:rPr>
                <w:sz w:val="20"/>
                <w:szCs w:val="20"/>
                <w:color w:val="auto"/>
              </w:rPr>
            </w:pPr>
            <w:r>
              <w:rPr>
                <w:rFonts w:ascii="Arial" w:cs="Arial" w:eastAsia="Arial" w:hAnsi="Arial"/>
                <w:sz w:val="18"/>
                <w:szCs w:val="18"/>
                <w:color w:val="auto"/>
              </w:rPr>
              <w:t>Appointment and Designation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580" w:type="dxa"/>
            <w:vAlign w:val="bottom"/>
          </w:tcPr>
          <w:p>
            <w:pPr>
              <w:ind w:left="320"/>
              <w:spacing w:after="0"/>
              <w:rPr>
                <w:sz w:val="20"/>
                <w:szCs w:val="20"/>
                <w:color w:val="auto"/>
              </w:rPr>
            </w:pPr>
            <w:r>
              <w:rPr>
                <w:rFonts w:ascii="Arial" w:cs="Arial" w:eastAsia="Arial" w:hAnsi="Arial"/>
                <w:sz w:val="18"/>
                <w:szCs w:val="18"/>
                <w:color w:val="auto"/>
              </w:rPr>
              <w:t>Duties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580" w:type="dxa"/>
            <w:vAlign w:val="bottom"/>
          </w:tcPr>
          <w:p>
            <w:pPr>
              <w:ind w:left="320"/>
              <w:spacing w:after="0"/>
              <w:rPr>
                <w:sz w:val="20"/>
                <w:szCs w:val="20"/>
                <w:color w:val="auto"/>
              </w:rPr>
            </w:pPr>
            <w:r>
              <w:rPr>
                <w:rFonts w:ascii="Arial" w:cs="Arial" w:eastAsia="Arial" w:hAnsi="Arial"/>
                <w:sz w:val="18"/>
                <w:szCs w:val="18"/>
                <w:color w:val="auto"/>
              </w:rPr>
              <w:t>Authorization of the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580" w:type="dxa"/>
            <w:vAlign w:val="bottom"/>
          </w:tcPr>
          <w:p>
            <w:pPr>
              <w:ind w:left="320"/>
              <w:spacing w:after="0"/>
              <w:rPr>
                <w:sz w:val="20"/>
                <w:szCs w:val="20"/>
                <w:color w:val="auto"/>
              </w:rPr>
            </w:pPr>
            <w:r>
              <w:rPr>
                <w:rFonts w:ascii="Arial" w:cs="Arial" w:eastAsia="Arial" w:hAnsi="Arial"/>
                <w:sz w:val="18"/>
                <w:szCs w:val="18"/>
                <w:color w:val="auto"/>
              </w:rPr>
              <w:t>Collection of Payments; Accounts</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8580" w:type="dxa"/>
            <w:vAlign w:val="bottom"/>
          </w:tcPr>
          <w:p>
            <w:pPr>
              <w:ind w:left="320"/>
              <w:spacing w:after="0"/>
              <w:rPr>
                <w:sz w:val="20"/>
                <w:szCs w:val="20"/>
                <w:color w:val="auto"/>
              </w:rPr>
            </w:pPr>
            <w:r>
              <w:rPr>
                <w:rFonts w:ascii="Arial" w:cs="Arial" w:eastAsia="Arial" w:hAnsi="Arial"/>
                <w:sz w:val="18"/>
                <w:szCs w:val="18"/>
                <w:color w:val="auto"/>
              </w:rPr>
              <w:t>Realization Upon Loan Assets</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5"/>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580" w:type="dxa"/>
            <w:vAlign w:val="bottom"/>
          </w:tcPr>
          <w:p>
            <w:pPr>
              <w:ind w:left="320"/>
              <w:spacing w:after="0"/>
              <w:rPr>
                <w:sz w:val="20"/>
                <w:szCs w:val="20"/>
                <w:color w:val="auto"/>
              </w:rPr>
            </w:pPr>
            <w:r>
              <w:rPr>
                <w:rFonts w:ascii="Arial" w:cs="Arial" w:eastAsia="Arial" w:hAnsi="Arial"/>
                <w:sz w:val="18"/>
                <w:szCs w:val="18"/>
                <w:color w:val="auto"/>
              </w:rPr>
              <w:t>Servicing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6.07</w:t>
            </w:r>
          </w:p>
        </w:tc>
        <w:tc>
          <w:tcPr>
            <w:tcW w:w="8580" w:type="dxa"/>
            <w:vAlign w:val="bottom"/>
          </w:tcPr>
          <w:p>
            <w:pPr>
              <w:ind w:left="320"/>
              <w:spacing w:after="0"/>
              <w:rPr>
                <w:sz w:val="20"/>
                <w:szCs w:val="20"/>
                <w:color w:val="auto"/>
              </w:rPr>
            </w:pPr>
            <w:r>
              <w:rPr>
                <w:rFonts w:ascii="Arial" w:cs="Arial" w:eastAsia="Arial" w:hAnsi="Arial"/>
                <w:sz w:val="18"/>
                <w:szCs w:val="18"/>
                <w:color w:val="auto"/>
              </w:rPr>
              <w:t>Payment of Certain Expenses by Servicer</w:t>
            </w: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460" w:top="488" w:right="5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6.08</w:t>
            </w:r>
          </w:p>
        </w:tc>
        <w:tc>
          <w:tcPr>
            <w:tcW w:w="8020" w:type="dxa"/>
            <w:vAlign w:val="bottom"/>
          </w:tcPr>
          <w:p>
            <w:pPr>
              <w:ind w:left="260"/>
              <w:spacing w:after="0"/>
              <w:rPr>
                <w:sz w:val="20"/>
                <w:szCs w:val="20"/>
                <w:color w:val="auto"/>
              </w:rPr>
            </w:pPr>
            <w:r>
              <w:rPr>
                <w:rFonts w:ascii="Arial" w:cs="Arial" w:eastAsia="Arial" w:hAnsi="Arial"/>
                <w:sz w:val="18"/>
                <w:szCs w:val="18"/>
                <w:color w:val="auto"/>
              </w:rPr>
              <w:t>Reports to the Administrative Agent; Account Statements; Servicing Information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6.09</w:t>
            </w:r>
          </w:p>
        </w:tc>
        <w:tc>
          <w:tcPr>
            <w:tcW w:w="8020" w:type="dxa"/>
            <w:vAlign w:val="bottom"/>
          </w:tcPr>
          <w:p>
            <w:pPr>
              <w:ind w:left="260"/>
              <w:spacing w:after="0"/>
              <w:rPr>
                <w:sz w:val="20"/>
                <w:szCs w:val="20"/>
                <w:color w:val="auto"/>
              </w:rPr>
            </w:pPr>
            <w:r>
              <w:rPr>
                <w:rFonts w:ascii="Arial" w:cs="Arial" w:eastAsia="Arial" w:hAnsi="Arial"/>
                <w:sz w:val="18"/>
                <w:szCs w:val="18"/>
                <w:color w:val="auto"/>
              </w:rPr>
              <w:t>Annual Statement as to Compliance</w:t>
            </w:r>
          </w:p>
        </w:tc>
        <w:tc>
          <w:tcPr>
            <w:tcW w:w="16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6.10</w:t>
            </w:r>
          </w:p>
        </w:tc>
        <w:tc>
          <w:tcPr>
            <w:tcW w:w="8020" w:type="dxa"/>
            <w:vAlign w:val="bottom"/>
          </w:tcPr>
          <w:p>
            <w:pPr>
              <w:ind w:left="260"/>
              <w:spacing w:after="0"/>
              <w:rPr>
                <w:sz w:val="20"/>
                <w:szCs w:val="20"/>
                <w:color w:val="auto"/>
              </w:rPr>
            </w:pPr>
            <w:r>
              <w:rPr>
                <w:rFonts w:ascii="Arial" w:cs="Arial" w:eastAsia="Arial" w:hAnsi="Arial"/>
                <w:sz w:val="18"/>
                <w:szCs w:val="18"/>
                <w:color w:val="auto"/>
              </w:rPr>
              <w:t>The Servicer Not to Resign</w:t>
            </w:r>
          </w:p>
        </w:tc>
        <w:tc>
          <w:tcPr>
            <w:tcW w:w="16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rPr>
              <w:t>ARTICLE VII</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70"/>
              <w:spacing w:after="0"/>
              <w:rPr>
                <w:sz w:val="20"/>
                <w:szCs w:val="20"/>
                <w:color w:val="auto"/>
              </w:rPr>
            </w:pPr>
            <w:r>
              <w:rPr>
                <w:rFonts w:ascii="Arial" w:cs="Arial" w:eastAsia="Arial" w:hAnsi="Arial"/>
                <w:sz w:val="18"/>
                <w:szCs w:val="18"/>
                <w:color w:val="auto"/>
                <w:w w:val="95"/>
              </w:rPr>
              <w:t>THE BACKUP SERVICER</w:t>
            </w:r>
          </w:p>
        </w:tc>
        <w:tc>
          <w:tcPr>
            <w:tcW w:w="164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7.01</w:t>
            </w:r>
          </w:p>
        </w:tc>
        <w:tc>
          <w:tcPr>
            <w:tcW w:w="8020" w:type="dxa"/>
            <w:vAlign w:val="bottom"/>
          </w:tcPr>
          <w:p>
            <w:pPr>
              <w:ind w:left="260"/>
              <w:spacing w:after="0"/>
              <w:rPr>
                <w:sz w:val="20"/>
                <w:szCs w:val="20"/>
                <w:color w:val="auto"/>
              </w:rPr>
            </w:pPr>
            <w:r>
              <w:rPr>
                <w:rFonts w:ascii="Arial" w:cs="Arial" w:eastAsia="Arial" w:hAnsi="Arial"/>
                <w:sz w:val="18"/>
                <w:szCs w:val="18"/>
                <w:color w:val="auto"/>
              </w:rPr>
              <w:t>Designation of the Backup Servicer</w:t>
            </w:r>
          </w:p>
        </w:tc>
        <w:tc>
          <w:tcPr>
            <w:tcW w:w="16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7.02</w:t>
            </w:r>
          </w:p>
        </w:tc>
        <w:tc>
          <w:tcPr>
            <w:tcW w:w="8020" w:type="dxa"/>
            <w:vAlign w:val="bottom"/>
          </w:tcPr>
          <w:p>
            <w:pPr>
              <w:ind w:left="260"/>
              <w:spacing w:after="0"/>
              <w:rPr>
                <w:sz w:val="20"/>
                <w:szCs w:val="20"/>
                <w:color w:val="auto"/>
              </w:rPr>
            </w:pPr>
            <w:r>
              <w:rPr>
                <w:rFonts w:ascii="Arial" w:cs="Arial" w:eastAsia="Arial" w:hAnsi="Arial"/>
                <w:sz w:val="18"/>
                <w:szCs w:val="18"/>
                <w:color w:val="auto"/>
              </w:rPr>
              <w:t>Duties of the Backup Servicer</w:t>
            </w:r>
          </w:p>
        </w:tc>
        <w:tc>
          <w:tcPr>
            <w:tcW w:w="16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7.03</w:t>
            </w:r>
          </w:p>
        </w:tc>
        <w:tc>
          <w:tcPr>
            <w:tcW w:w="8020" w:type="dxa"/>
            <w:vAlign w:val="bottom"/>
          </w:tcPr>
          <w:p>
            <w:pPr>
              <w:ind w:left="260"/>
              <w:spacing w:after="0"/>
              <w:rPr>
                <w:sz w:val="20"/>
                <w:szCs w:val="20"/>
                <w:color w:val="auto"/>
              </w:rPr>
            </w:pPr>
            <w:r>
              <w:rPr>
                <w:rFonts w:ascii="Arial" w:cs="Arial" w:eastAsia="Arial" w:hAnsi="Arial"/>
                <w:sz w:val="18"/>
                <w:szCs w:val="18"/>
                <w:color w:val="auto"/>
              </w:rPr>
              <w:t>Merger or Consolidation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7.04</w:t>
            </w:r>
          </w:p>
        </w:tc>
        <w:tc>
          <w:tcPr>
            <w:tcW w:w="8020" w:type="dxa"/>
            <w:vAlign w:val="bottom"/>
          </w:tcPr>
          <w:p>
            <w:pPr>
              <w:ind w:left="260"/>
              <w:spacing w:after="0"/>
              <w:rPr>
                <w:sz w:val="20"/>
                <w:szCs w:val="20"/>
                <w:color w:val="auto"/>
              </w:rPr>
            </w:pPr>
            <w:r>
              <w:rPr>
                <w:rFonts w:ascii="Arial" w:cs="Arial" w:eastAsia="Arial" w:hAnsi="Arial"/>
                <w:sz w:val="18"/>
                <w:szCs w:val="18"/>
                <w:color w:val="auto"/>
              </w:rPr>
              <w:t>Backup Servicing Compensation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7.05</w:t>
            </w:r>
          </w:p>
        </w:tc>
        <w:tc>
          <w:tcPr>
            <w:tcW w:w="8020" w:type="dxa"/>
            <w:vAlign w:val="bottom"/>
          </w:tcPr>
          <w:p>
            <w:pPr>
              <w:ind w:left="260"/>
              <w:spacing w:after="0"/>
              <w:rPr>
                <w:sz w:val="20"/>
                <w:szCs w:val="20"/>
                <w:color w:val="auto"/>
              </w:rPr>
            </w:pPr>
            <w:r>
              <w:rPr>
                <w:rFonts w:ascii="Arial" w:cs="Arial" w:eastAsia="Arial" w:hAnsi="Arial"/>
                <w:sz w:val="18"/>
                <w:szCs w:val="18"/>
                <w:color w:val="auto"/>
              </w:rPr>
              <w:t>Backup Servicer Removal</w:t>
            </w:r>
          </w:p>
        </w:tc>
        <w:tc>
          <w:tcPr>
            <w:tcW w:w="1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7.06</w:t>
            </w:r>
          </w:p>
        </w:tc>
        <w:tc>
          <w:tcPr>
            <w:tcW w:w="8020" w:type="dxa"/>
            <w:vAlign w:val="bottom"/>
          </w:tcPr>
          <w:p>
            <w:pPr>
              <w:ind w:left="260"/>
              <w:spacing w:after="0"/>
              <w:rPr>
                <w:sz w:val="20"/>
                <w:szCs w:val="20"/>
                <w:color w:val="auto"/>
              </w:rPr>
            </w:pPr>
            <w:r>
              <w:rPr>
                <w:rFonts w:ascii="Arial" w:cs="Arial" w:eastAsia="Arial" w:hAnsi="Arial"/>
                <w:sz w:val="18"/>
                <w:szCs w:val="18"/>
                <w:color w:val="auto"/>
              </w:rPr>
              <w:t>Limitation on Liability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7.07</w:t>
            </w:r>
          </w:p>
        </w:tc>
        <w:tc>
          <w:tcPr>
            <w:tcW w:w="8020" w:type="dxa"/>
            <w:vAlign w:val="bottom"/>
          </w:tcPr>
          <w:p>
            <w:pPr>
              <w:ind w:left="260"/>
              <w:spacing w:after="0"/>
              <w:rPr>
                <w:sz w:val="20"/>
                <w:szCs w:val="20"/>
                <w:color w:val="auto"/>
              </w:rPr>
            </w:pPr>
            <w:r>
              <w:rPr>
                <w:rFonts w:ascii="Arial" w:cs="Arial" w:eastAsia="Arial" w:hAnsi="Arial"/>
                <w:sz w:val="18"/>
                <w:szCs w:val="18"/>
                <w:color w:val="auto"/>
              </w:rPr>
              <w:t>The Backup Servicer Not to Resign</w:t>
            </w:r>
          </w:p>
        </w:tc>
        <w:tc>
          <w:tcPr>
            <w:tcW w:w="16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70"/>
              <w:spacing w:after="0"/>
              <w:rPr>
                <w:sz w:val="20"/>
                <w:szCs w:val="20"/>
                <w:color w:val="auto"/>
              </w:rPr>
            </w:pPr>
            <w:r>
              <w:rPr>
                <w:rFonts w:ascii="Arial" w:cs="Arial" w:eastAsia="Arial" w:hAnsi="Arial"/>
                <w:sz w:val="18"/>
                <w:szCs w:val="18"/>
                <w:color w:val="auto"/>
              </w:rPr>
              <w:t>ARTICLE VIII</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w w:val="95"/>
              </w:rPr>
              <w:t>EVENTS OF DEFAULT</w:t>
            </w:r>
          </w:p>
        </w:tc>
        <w:tc>
          <w:tcPr>
            <w:tcW w:w="164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8.01</w:t>
            </w:r>
          </w:p>
        </w:tc>
        <w:tc>
          <w:tcPr>
            <w:tcW w:w="8020" w:type="dxa"/>
            <w:vAlign w:val="bottom"/>
          </w:tcPr>
          <w:p>
            <w:pPr>
              <w:ind w:left="260"/>
              <w:spacing w:after="0"/>
              <w:rPr>
                <w:sz w:val="20"/>
                <w:szCs w:val="20"/>
                <w:color w:val="auto"/>
              </w:rPr>
            </w:pPr>
            <w:r>
              <w:rPr>
                <w:rFonts w:ascii="Arial" w:cs="Arial" w:eastAsia="Arial" w:hAnsi="Arial"/>
                <w:sz w:val="18"/>
                <w:szCs w:val="18"/>
                <w:color w:val="auto"/>
              </w:rPr>
              <w:t>Events of Default</w:t>
            </w:r>
          </w:p>
        </w:tc>
        <w:tc>
          <w:tcPr>
            <w:tcW w:w="164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8.02</w:t>
            </w:r>
          </w:p>
        </w:tc>
        <w:tc>
          <w:tcPr>
            <w:tcW w:w="8020" w:type="dxa"/>
            <w:vAlign w:val="bottom"/>
          </w:tcPr>
          <w:p>
            <w:pPr>
              <w:ind w:left="260"/>
              <w:spacing w:after="0"/>
              <w:rPr>
                <w:sz w:val="20"/>
                <w:szCs w:val="20"/>
                <w:color w:val="auto"/>
              </w:rPr>
            </w:pPr>
            <w:r>
              <w:rPr>
                <w:rFonts w:ascii="Arial" w:cs="Arial" w:eastAsia="Arial" w:hAnsi="Arial"/>
                <w:sz w:val="18"/>
                <w:szCs w:val="18"/>
                <w:color w:val="auto"/>
              </w:rPr>
              <w:t>Additional Remedies of the Administrative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8.03</w:t>
            </w:r>
          </w:p>
        </w:tc>
        <w:tc>
          <w:tcPr>
            <w:tcW w:w="8020" w:type="dxa"/>
            <w:vAlign w:val="bottom"/>
          </w:tcPr>
          <w:p>
            <w:pPr>
              <w:ind w:left="260"/>
              <w:spacing w:after="0"/>
              <w:rPr>
                <w:sz w:val="20"/>
                <w:szCs w:val="20"/>
                <w:color w:val="auto"/>
              </w:rPr>
            </w:pPr>
            <w:r>
              <w:rPr>
                <w:rFonts w:ascii="Arial" w:cs="Arial" w:eastAsia="Arial" w:hAnsi="Arial"/>
                <w:sz w:val="18"/>
                <w:szCs w:val="18"/>
                <w:color w:val="auto"/>
              </w:rPr>
              <w:t>Volcker Extension</w:t>
            </w:r>
          </w:p>
        </w:tc>
        <w:tc>
          <w:tcPr>
            <w:tcW w:w="16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70"/>
              <w:spacing w:after="0"/>
              <w:rPr>
                <w:sz w:val="20"/>
                <w:szCs w:val="20"/>
                <w:color w:val="auto"/>
              </w:rPr>
            </w:pPr>
            <w:r>
              <w:rPr>
                <w:rFonts w:ascii="Arial" w:cs="Arial" w:eastAsia="Arial" w:hAnsi="Arial"/>
                <w:sz w:val="18"/>
                <w:szCs w:val="18"/>
                <w:color w:val="auto"/>
                <w:w w:val="99"/>
              </w:rPr>
              <w:t>ARTICLE IX</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w w:val="99"/>
              </w:rPr>
              <w:t>INDEMNIFICATION</w:t>
            </w:r>
          </w:p>
        </w:tc>
        <w:tc>
          <w:tcPr>
            <w:tcW w:w="164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9.01</w:t>
            </w:r>
          </w:p>
        </w:tc>
        <w:tc>
          <w:tcPr>
            <w:tcW w:w="8020" w:type="dxa"/>
            <w:vAlign w:val="bottom"/>
          </w:tcPr>
          <w:p>
            <w:pPr>
              <w:ind w:left="260"/>
              <w:spacing w:after="0"/>
              <w:rPr>
                <w:sz w:val="20"/>
                <w:szCs w:val="20"/>
                <w:color w:val="auto"/>
              </w:rPr>
            </w:pPr>
            <w:r>
              <w:rPr>
                <w:rFonts w:ascii="Arial" w:cs="Arial" w:eastAsia="Arial" w:hAnsi="Arial"/>
                <w:sz w:val="18"/>
                <w:szCs w:val="18"/>
                <w:color w:val="auto"/>
              </w:rPr>
              <w:t>Indemnities by the Borrower</w:t>
            </w:r>
          </w:p>
        </w:tc>
        <w:tc>
          <w:tcPr>
            <w:tcW w:w="16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9.02</w:t>
            </w:r>
          </w:p>
        </w:tc>
        <w:tc>
          <w:tcPr>
            <w:tcW w:w="8020" w:type="dxa"/>
            <w:vAlign w:val="bottom"/>
          </w:tcPr>
          <w:p>
            <w:pPr>
              <w:ind w:left="260"/>
              <w:spacing w:after="0"/>
              <w:rPr>
                <w:sz w:val="20"/>
                <w:szCs w:val="20"/>
                <w:color w:val="auto"/>
              </w:rPr>
            </w:pPr>
            <w:r>
              <w:rPr>
                <w:rFonts w:ascii="Arial" w:cs="Arial" w:eastAsia="Arial" w:hAnsi="Arial"/>
                <w:sz w:val="18"/>
                <w:szCs w:val="18"/>
                <w:color w:val="auto"/>
              </w:rPr>
              <w:t>Indemnities by Servicer</w:t>
            </w:r>
          </w:p>
        </w:tc>
        <w:tc>
          <w:tcPr>
            <w:tcW w:w="164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9.03</w:t>
            </w:r>
          </w:p>
        </w:tc>
        <w:tc>
          <w:tcPr>
            <w:tcW w:w="802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64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9.04</w:t>
            </w:r>
          </w:p>
        </w:tc>
        <w:tc>
          <w:tcPr>
            <w:tcW w:w="8020" w:type="dxa"/>
            <w:vAlign w:val="bottom"/>
          </w:tcPr>
          <w:p>
            <w:pPr>
              <w:ind w:left="260"/>
              <w:spacing w:after="0"/>
              <w:rPr>
                <w:sz w:val="20"/>
                <w:szCs w:val="20"/>
                <w:color w:val="auto"/>
              </w:rPr>
            </w:pPr>
            <w:r>
              <w:rPr>
                <w:rFonts w:ascii="Arial" w:cs="Arial" w:eastAsia="Arial" w:hAnsi="Arial"/>
                <w:sz w:val="18"/>
                <w:szCs w:val="18"/>
                <w:color w:val="auto"/>
              </w:rPr>
              <w:t>After-Tax Basis</w:t>
            </w: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w w:val="98"/>
              </w:rPr>
              <w:t>ARTICLE X</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w w:val="97"/>
              </w:rPr>
              <w:t>THE ADMINISTRATIVE AGENT AND THE LENDER AGENTS</w:t>
            </w:r>
          </w:p>
        </w:tc>
        <w:tc>
          <w:tcPr>
            <w:tcW w:w="164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10.01</w:t>
            </w:r>
          </w:p>
        </w:tc>
        <w:tc>
          <w:tcPr>
            <w:tcW w:w="8020" w:type="dxa"/>
            <w:vAlign w:val="bottom"/>
          </w:tcPr>
          <w:p>
            <w:pPr>
              <w:ind w:left="260"/>
              <w:spacing w:after="0"/>
              <w:rPr>
                <w:sz w:val="20"/>
                <w:szCs w:val="20"/>
                <w:color w:val="auto"/>
              </w:rPr>
            </w:pPr>
            <w:r>
              <w:rPr>
                <w:rFonts w:ascii="Arial" w:cs="Arial" w:eastAsia="Arial" w:hAnsi="Arial"/>
                <w:sz w:val="18"/>
                <w:szCs w:val="18"/>
                <w:color w:val="auto"/>
              </w:rPr>
              <w:t>The Administrative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10.02</w:t>
            </w:r>
          </w:p>
        </w:tc>
        <w:tc>
          <w:tcPr>
            <w:tcW w:w="8020" w:type="dxa"/>
            <w:vAlign w:val="bottom"/>
          </w:tcPr>
          <w:p>
            <w:pPr>
              <w:ind w:left="260"/>
              <w:spacing w:after="0"/>
              <w:rPr>
                <w:sz w:val="20"/>
                <w:szCs w:val="20"/>
                <w:color w:val="auto"/>
              </w:rPr>
            </w:pPr>
            <w:r>
              <w:rPr>
                <w:rFonts w:ascii="Arial" w:cs="Arial" w:eastAsia="Arial" w:hAnsi="Arial"/>
                <w:sz w:val="18"/>
                <w:szCs w:val="18"/>
                <w:color w:val="auto"/>
              </w:rPr>
              <w:t>The Lender Agents</w:t>
            </w:r>
          </w:p>
        </w:tc>
        <w:tc>
          <w:tcPr>
            <w:tcW w:w="16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70"/>
              <w:spacing w:after="0"/>
              <w:rPr>
                <w:sz w:val="20"/>
                <w:szCs w:val="20"/>
                <w:color w:val="auto"/>
              </w:rPr>
            </w:pPr>
            <w:r>
              <w:rPr>
                <w:rFonts w:ascii="Arial" w:cs="Arial" w:eastAsia="Arial" w:hAnsi="Arial"/>
                <w:sz w:val="18"/>
                <w:szCs w:val="18"/>
                <w:color w:val="auto"/>
                <w:w w:val="99"/>
              </w:rPr>
              <w:t>ARTICLE XI</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8020" w:type="dxa"/>
            <w:vAlign w:val="bottom"/>
          </w:tcPr>
          <w:p>
            <w:pPr>
              <w:jc w:val="center"/>
              <w:ind w:left="290"/>
              <w:spacing w:after="0"/>
              <w:rPr>
                <w:sz w:val="20"/>
                <w:szCs w:val="20"/>
                <w:color w:val="auto"/>
              </w:rPr>
            </w:pPr>
            <w:r>
              <w:rPr>
                <w:rFonts w:ascii="Arial" w:cs="Arial" w:eastAsia="Arial" w:hAnsi="Arial"/>
                <w:sz w:val="18"/>
                <w:szCs w:val="18"/>
                <w:color w:val="auto"/>
                <w:w w:val="97"/>
              </w:rPr>
              <w:t>COLLATERAL AGENT</w:t>
            </w:r>
          </w:p>
        </w:tc>
        <w:tc>
          <w:tcPr>
            <w:tcW w:w="1640" w:type="dxa"/>
            <w:vAlign w:val="bottom"/>
          </w:tcPr>
          <w:p>
            <w:pPr>
              <w:spacing w:after="0"/>
              <w:rPr>
                <w:sz w:val="24"/>
                <w:szCs w:val="24"/>
                <w:color w:val="auto"/>
              </w:rPr>
            </w:pPr>
          </w:p>
        </w:tc>
      </w:tr>
      <w:tr>
        <w:trPr>
          <w:trHeight w:val="430"/>
        </w:trPr>
        <w:tc>
          <w:tcPr>
            <w:tcW w:w="1260" w:type="dxa"/>
            <w:vAlign w:val="bottom"/>
          </w:tcPr>
          <w:p>
            <w:pPr>
              <w:spacing w:after="0"/>
              <w:rPr>
                <w:sz w:val="20"/>
                <w:szCs w:val="20"/>
                <w:color w:val="auto"/>
              </w:rPr>
            </w:pPr>
            <w:r>
              <w:rPr>
                <w:rFonts w:ascii="Arial" w:cs="Arial" w:eastAsia="Arial" w:hAnsi="Arial"/>
                <w:sz w:val="18"/>
                <w:szCs w:val="18"/>
                <w:color w:val="auto"/>
              </w:rPr>
              <w:t>Section 11.01</w:t>
            </w:r>
          </w:p>
        </w:tc>
        <w:tc>
          <w:tcPr>
            <w:tcW w:w="8020" w:type="dxa"/>
            <w:vAlign w:val="bottom"/>
          </w:tcPr>
          <w:p>
            <w:pPr>
              <w:ind w:left="260"/>
              <w:spacing w:after="0"/>
              <w:rPr>
                <w:sz w:val="20"/>
                <w:szCs w:val="20"/>
                <w:color w:val="auto"/>
              </w:rPr>
            </w:pPr>
            <w:r>
              <w:rPr>
                <w:rFonts w:ascii="Arial" w:cs="Arial" w:eastAsia="Arial" w:hAnsi="Arial"/>
                <w:sz w:val="18"/>
                <w:szCs w:val="18"/>
                <w:color w:val="auto"/>
              </w:rPr>
              <w:t>Designation of Collateral Agent</w:t>
            </w:r>
          </w:p>
        </w:tc>
        <w:tc>
          <w:tcPr>
            <w:tcW w:w="16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363"/>
        </w:trPr>
        <w:tc>
          <w:tcPr>
            <w:tcW w:w="1260" w:type="dxa"/>
            <w:vAlign w:val="bottom"/>
          </w:tcPr>
          <w:p>
            <w:pPr>
              <w:spacing w:after="0"/>
              <w:rPr>
                <w:sz w:val="24"/>
                <w:szCs w:val="24"/>
                <w:color w:val="auto"/>
              </w:rPr>
            </w:pPr>
          </w:p>
        </w:tc>
        <w:tc>
          <w:tcPr>
            <w:tcW w:w="8020" w:type="dxa"/>
            <w:vAlign w:val="bottom"/>
          </w:tcPr>
          <w:p>
            <w:pPr>
              <w:ind w:left="4080"/>
              <w:spacing w:after="0"/>
              <w:rPr>
                <w:sz w:val="20"/>
                <w:szCs w:val="20"/>
                <w:color w:val="auto"/>
              </w:rPr>
            </w:pPr>
            <w:r>
              <w:rPr>
                <w:rFonts w:ascii="Arial" w:cs="Arial" w:eastAsia="Arial" w:hAnsi="Arial"/>
                <w:sz w:val="18"/>
                <w:szCs w:val="18"/>
                <w:color w:val="auto"/>
              </w:rPr>
              <w:t>-iii-</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460" w:top="273" w:right="51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bookmarkStart w:id="61" w:name="page62"/>
    <w:bookmarkEnd w:id="61"/>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11.02</w:t>
            </w:r>
          </w:p>
        </w:tc>
        <w:tc>
          <w:tcPr>
            <w:tcW w:w="7480" w:type="dxa"/>
            <w:vAlign w:val="bottom"/>
          </w:tcPr>
          <w:p>
            <w:pPr>
              <w:ind w:left="260"/>
              <w:spacing w:after="0"/>
              <w:rPr>
                <w:sz w:val="20"/>
                <w:szCs w:val="20"/>
                <w:color w:val="auto"/>
              </w:rPr>
            </w:pPr>
            <w:r>
              <w:rPr>
                <w:rFonts w:ascii="Arial" w:cs="Arial" w:eastAsia="Arial" w:hAnsi="Arial"/>
                <w:sz w:val="18"/>
                <w:szCs w:val="18"/>
                <w:color w:val="auto"/>
              </w:rPr>
              <w:t>Duties of Collateral Agent</w:t>
            </w:r>
          </w:p>
        </w:tc>
        <w:tc>
          <w:tcPr>
            <w:tcW w:w="2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11.03</w:t>
            </w:r>
          </w:p>
        </w:tc>
        <w:tc>
          <w:tcPr>
            <w:tcW w:w="7480" w:type="dxa"/>
            <w:vAlign w:val="bottom"/>
          </w:tcPr>
          <w:p>
            <w:pPr>
              <w:ind w:left="260"/>
              <w:spacing w:after="0"/>
              <w:rPr>
                <w:sz w:val="20"/>
                <w:szCs w:val="20"/>
                <w:color w:val="auto"/>
              </w:rPr>
            </w:pPr>
            <w:r>
              <w:rPr>
                <w:rFonts w:ascii="Arial" w:cs="Arial" w:eastAsia="Arial" w:hAnsi="Arial"/>
                <w:sz w:val="18"/>
                <w:szCs w:val="18"/>
                <w:color w:val="auto"/>
              </w:rPr>
              <w:t>Merger or Consolidation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11.04</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Agent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11.05</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Agent Removal</w:t>
            </w:r>
          </w:p>
        </w:tc>
        <w:tc>
          <w:tcPr>
            <w:tcW w:w="21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11.06</w:t>
            </w:r>
          </w:p>
        </w:tc>
        <w:tc>
          <w:tcPr>
            <w:tcW w:w="7480" w:type="dxa"/>
            <w:vAlign w:val="bottom"/>
          </w:tcPr>
          <w:p>
            <w:pPr>
              <w:ind w:left="260"/>
              <w:spacing w:after="0"/>
              <w:rPr>
                <w:sz w:val="20"/>
                <w:szCs w:val="20"/>
                <w:color w:val="auto"/>
              </w:rPr>
            </w:pPr>
            <w:r>
              <w:rPr>
                <w:rFonts w:ascii="Arial" w:cs="Arial" w:eastAsia="Arial" w:hAnsi="Arial"/>
                <w:sz w:val="18"/>
                <w:szCs w:val="18"/>
                <w:color w:val="auto"/>
              </w:rPr>
              <w:t>Limitation on Liability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11.07</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Agent Resignation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430"/>
        </w:trPr>
        <w:tc>
          <w:tcPr>
            <w:tcW w:w="1260" w:type="dxa"/>
            <w:vAlign w:val="bottom"/>
          </w:tcPr>
          <w:p>
            <w:pPr>
              <w:spacing w:after="0"/>
              <w:rPr>
                <w:sz w:val="24"/>
                <w:szCs w:val="24"/>
                <w:color w:val="auto"/>
              </w:rPr>
            </w:pPr>
          </w:p>
        </w:tc>
        <w:tc>
          <w:tcPr>
            <w:tcW w:w="7480" w:type="dxa"/>
            <w:vAlign w:val="bottom"/>
          </w:tcPr>
          <w:p>
            <w:pPr>
              <w:jc w:val="center"/>
              <w:ind w:left="830"/>
              <w:spacing w:after="0"/>
              <w:rPr>
                <w:sz w:val="20"/>
                <w:szCs w:val="20"/>
                <w:color w:val="auto"/>
              </w:rPr>
            </w:pPr>
            <w:r>
              <w:rPr>
                <w:rFonts w:ascii="Arial" w:cs="Arial" w:eastAsia="Arial" w:hAnsi="Arial"/>
                <w:sz w:val="18"/>
                <w:szCs w:val="18"/>
                <w:color w:val="auto"/>
              </w:rPr>
              <w:t>ARTICLE XII</w:t>
            </w:r>
          </w:p>
        </w:tc>
        <w:tc>
          <w:tcPr>
            <w:tcW w:w="218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7480" w:type="dxa"/>
            <w:vAlign w:val="bottom"/>
          </w:tcPr>
          <w:p>
            <w:pPr>
              <w:jc w:val="center"/>
              <w:ind w:left="830"/>
              <w:spacing w:after="0"/>
              <w:rPr>
                <w:sz w:val="20"/>
                <w:szCs w:val="20"/>
                <w:color w:val="auto"/>
              </w:rPr>
            </w:pPr>
            <w:r>
              <w:rPr>
                <w:rFonts w:ascii="Arial" w:cs="Arial" w:eastAsia="Arial" w:hAnsi="Arial"/>
                <w:sz w:val="18"/>
                <w:szCs w:val="18"/>
                <w:color w:val="auto"/>
                <w:w w:val="96"/>
              </w:rPr>
              <w:t>MISCELLANEOUS</w:t>
            </w:r>
          </w:p>
        </w:tc>
        <w:tc>
          <w:tcPr>
            <w:tcW w:w="218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12.01</w:t>
            </w:r>
          </w:p>
        </w:tc>
        <w:tc>
          <w:tcPr>
            <w:tcW w:w="7480" w:type="dxa"/>
            <w:vAlign w:val="bottom"/>
          </w:tcPr>
          <w:p>
            <w:pPr>
              <w:ind w:left="260"/>
              <w:spacing w:after="0"/>
              <w:rPr>
                <w:sz w:val="20"/>
                <w:szCs w:val="20"/>
                <w:color w:val="auto"/>
              </w:rPr>
            </w:pPr>
            <w:r>
              <w:rPr>
                <w:rFonts w:ascii="Arial" w:cs="Arial" w:eastAsia="Arial" w:hAnsi="Arial"/>
                <w:sz w:val="18"/>
                <w:szCs w:val="18"/>
                <w:color w:val="auto"/>
              </w:rPr>
              <w:t>Amendments and Waivers</w:t>
            </w:r>
          </w:p>
        </w:tc>
        <w:tc>
          <w:tcPr>
            <w:tcW w:w="21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12.02</w:t>
            </w:r>
          </w:p>
        </w:tc>
        <w:tc>
          <w:tcPr>
            <w:tcW w:w="7480" w:type="dxa"/>
            <w:vAlign w:val="bottom"/>
          </w:tcPr>
          <w:p>
            <w:pPr>
              <w:ind w:left="260"/>
              <w:spacing w:after="0"/>
              <w:rPr>
                <w:sz w:val="20"/>
                <w:szCs w:val="20"/>
                <w:color w:val="auto"/>
              </w:rPr>
            </w:pPr>
            <w:r>
              <w:rPr>
                <w:rFonts w:ascii="Arial" w:cs="Arial" w:eastAsia="Arial" w:hAnsi="Arial"/>
                <w:sz w:val="18"/>
                <w:szCs w:val="18"/>
                <w:color w:val="auto"/>
              </w:rPr>
              <w:t>Notices,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12.03</w:t>
            </w:r>
          </w:p>
        </w:tc>
        <w:tc>
          <w:tcPr>
            <w:tcW w:w="7480" w:type="dxa"/>
            <w:vAlign w:val="bottom"/>
          </w:tcPr>
          <w:p>
            <w:pPr>
              <w:ind w:left="260"/>
              <w:spacing w:after="0"/>
              <w:rPr>
                <w:sz w:val="20"/>
                <w:szCs w:val="20"/>
                <w:color w:val="auto"/>
              </w:rPr>
            </w:pPr>
            <w:r>
              <w:rPr>
                <w:rFonts w:ascii="Arial" w:cs="Arial" w:eastAsia="Arial" w:hAnsi="Arial"/>
                <w:sz w:val="18"/>
                <w:szCs w:val="18"/>
                <w:color w:val="auto"/>
              </w:rPr>
              <w:t>No Waiver Remedies</w:t>
            </w:r>
          </w:p>
        </w:tc>
        <w:tc>
          <w:tcPr>
            <w:tcW w:w="21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12.04</w:t>
            </w:r>
          </w:p>
        </w:tc>
        <w:tc>
          <w:tcPr>
            <w:tcW w:w="7480" w:type="dxa"/>
            <w:vAlign w:val="bottom"/>
          </w:tcPr>
          <w:p>
            <w:pPr>
              <w:ind w:left="260"/>
              <w:spacing w:after="0"/>
              <w:rPr>
                <w:sz w:val="20"/>
                <w:szCs w:val="20"/>
                <w:color w:val="auto"/>
              </w:rPr>
            </w:pPr>
            <w:r>
              <w:rPr>
                <w:rFonts w:ascii="Arial" w:cs="Arial" w:eastAsia="Arial" w:hAnsi="Arial"/>
                <w:sz w:val="18"/>
                <w:szCs w:val="18"/>
                <w:color w:val="auto"/>
              </w:rPr>
              <w:t>Binding Effect; Assignability; Multiple Lenders</w:t>
            </w:r>
          </w:p>
        </w:tc>
        <w:tc>
          <w:tcPr>
            <w:tcW w:w="21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12.05</w:t>
            </w:r>
          </w:p>
        </w:tc>
        <w:tc>
          <w:tcPr>
            <w:tcW w:w="7480" w:type="dxa"/>
            <w:vAlign w:val="bottom"/>
          </w:tcPr>
          <w:p>
            <w:pPr>
              <w:ind w:left="260"/>
              <w:spacing w:after="0"/>
              <w:rPr>
                <w:sz w:val="20"/>
                <w:szCs w:val="20"/>
                <w:color w:val="auto"/>
              </w:rPr>
            </w:pPr>
            <w:r>
              <w:rPr>
                <w:rFonts w:ascii="Arial" w:cs="Arial" w:eastAsia="Arial" w:hAnsi="Arial"/>
                <w:sz w:val="18"/>
                <w:szCs w:val="18"/>
                <w:color w:val="auto"/>
              </w:rPr>
              <w:t>Term of This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12.06</w:t>
            </w:r>
          </w:p>
        </w:tc>
        <w:tc>
          <w:tcPr>
            <w:tcW w:w="7480" w:type="dxa"/>
            <w:vAlign w:val="bottom"/>
          </w:tcPr>
          <w:p>
            <w:pPr>
              <w:ind w:left="260"/>
              <w:spacing w:after="0"/>
              <w:rPr>
                <w:sz w:val="20"/>
                <w:szCs w:val="20"/>
                <w:color w:val="auto"/>
              </w:rPr>
            </w:pPr>
            <w:r>
              <w:rPr>
                <w:rFonts w:ascii="Arial" w:cs="Arial" w:eastAsia="Arial" w:hAnsi="Arial"/>
                <w:sz w:val="18"/>
                <w:szCs w:val="18"/>
                <w:color w:val="auto"/>
              </w:rPr>
              <w:t>GOVERNING LAW; JURY WAIVER</w:t>
            </w:r>
          </w:p>
        </w:tc>
        <w:tc>
          <w:tcPr>
            <w:tcW w:w="2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12.07</w:t>
            </w:r>
          </w:p>
        </w:tc>
        <w:tc>
          <w:tcPr>
            <w:tcW w:w="7480" w:type="dxa"/>
            <w:vAlign w:val="bottom"/>
          </w:tcPr>
          <w:p>
            <w:pPr>
              <w:ind w:left="260"/>
              <w:spacing w:after="0"/>
              <w:rPr>
                <w:sz w:val="20"/>
                <w:szCs w:val="20"/>
                <w:color w:val="auto"/>
              </w:rPr>
            </w:pPr>
            <w:r>
              <w:rPr>
                <w:rFonts w:ascii="Arial" w:cs="Arial" w:eastAsia="Arial" w:hAnsi="Arial"/>
                <w:sz w:val="18"/>
                <w:szCs w:val="18"/>
                <w:color w:val="auto"/>
              </w:rPr>
              <w:t>Costs, Expenses and Taxes</w:t>
            </w:r>
          </w:p>
        </w:tc>
        <w:tc>
          <w:tcPr>
            <w:tcW w:w="2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12.08</w:t>
            </w:r>
          </w:p>
        </w:tc>
        <w:tc>
          <w:tcPr>
            <w:tcW w:w="7480" w:type="dxa"/>
            <w:vAlign w:val="bottom"/>
          </w:tcPr>
          <w:p>
            <w:pPr>
              <w:ind w:left="260"/>
              <w:spacing w:after="0"/>
              <w:rPr>
                <w:sz w:val="20"/>
                <w:szCs w:val="20"/>
                <w:color w:val="auto"/>
              </w:rPr>
            </w:pPr>
            <w:r>
              <w:rPr>
                <w:rFonts w:ascii="Arial" w:cs="Arial" w:eastAsia="Arial" w:hAnsi="Arial"/>
                <w:sz w:val="18"/>
                <w:szCs w:val="18"/>
                <w:color w:val="auto"/>
              </w:rPr>
              <w:t>No Proceedings</w:t>
            </w:r>
          </w:p>
        </w:tc>
        <w:tc>
          <w:tcPr>
            <w:tcW w:w="21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12.09</w:t>
            </w:r>
          </w:p>
        </w:tc>
        <w:tc>
          <w:tcPr>
            <w:tcW w:w="7480" w:type="dxa"/>
            <w:vAlign w:val="bottom"/>
          </w:tcPr>
          <w:p>
            <w:pPr>
              <w:ind w:left="260"/>
              <w:spacing w:after="0"/>
              <w:rPr>
                <w:sz w:val="20"/>
                <w:szCs w:val="20"/>
                <w:color w:val="auto"/>
              </w:rPr>
            </w:pPr>
            <w:r>
              <w:rPr>
                <w:rFonts w:ascii="Arial" w:cs="Arial" w:eastAsia="Arial" w:hAnsi="Arial"/>
                <w:sz w:val="18"/>
                <w:szCs w:val="18"/>
                <w:color w:val="auto"/>
              </w:rPr>
              <w:t>Recourse Against Certain Parties</w:t>
            </w:r>
          </w:p>
        </w:tc>
        <w:tc>
          <w:tcPr>
            <w:tcW w:w="21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12.10</w:t>
            </w:r>
          </w:p>
        </w:tc>
        <w:tc>
          <w:tcPr>
            <w:tcW w:w="7480" w:type="dxa"/>
            <w:vAlign w:val="bottom"/>
          </w:tcPr>
          <w:p>
            <w:pPr>
              <w:ind w:left="260"/>
              <w:spacing w:after="0"/>
              <w:rPr>
                <w:sz w:val="20"/>
                <w:szCs w:val="20"/>
                <w:color w:val="auto"/>
              </w:rPr>
            </w:pPr>
            <w:r>
              <w:rPr>
                <w:rFonts w:ascii="Arial" w:cs="Arial" w:eastAsia="Arial" w:hAnsi="Arial"/>
                <w:sz w:val="18"/>
                <w:szCs w:val="18"/>
                <w:color w:val="auto"/>
              </w:rPr>
              <w:t>Execution in Counterparts; Severability; Integration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12.11</w:t>
            </w:r>
          </w:p>
        </w:tc>
        <w:tc>
          <w:tcPr>
            <w:tcW w:w="7480" w:type="dxa"/>
            <w:vAlign w:val="bottom"/>
          </w:tcPr>
          <w:p>
            <w:pPr>
              <w:ind w:left="260"/>
              <w:spacing w:after="0"/>
              <w:rPr>
                <w:sz w:val="20"/>
                <w:szCs w:val="20"/>
                <w:color w:val="auto"/>
              </w:rPr>
            </w:pPr>
            <w:r>
              <w:rPr>
                <w:rFonts w:ascii="Arial" w:cs="Arial" w:eastAsia="Arial" w:hAnsi="Arial"/>
                <w:sz w:val="18"/>
                <w:szCs w:val="18"/>
                <w:color w:val="auto"/>
              </w:rPr>
              <w:t>Consent to Jurisdiction; Service of Process</w:t>
            </w:r>
          </w:p>
        </w:tc>
        <w:tc>
          <w:tcPr>
            <w:tcW w:w="2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12.12</w:t>
            </w:r>
          </w:p>
        </w:tc>
        <w:tc>
          <w:tcPr>
            <w:tcW w:w="7480" w:type="dxa"/>
            <w:vAlign w:val="bottom"/>
          </w:tcPr>
          <w:p>
            <w:pPr>
              <w:ind w:left="260"/>
              <w:spacing w:after="0"/>
              <w:rPr>
                <w:sz w:val="20"/>
                <w:szCs w:val="20"/>
                <w:color w:val="auto"/>
              </w:rPr>
            </w:pPr>
            <w:r>
              <w:rPr>
                <w:rFonts w:ascii="Arial" w:cs="Arial" w:eastAsia="Arial" w:hAnsi="Arial"/>
                <w:sz w:val="18"/>
                <w:szCs w:val="18"/>
                <w:color w:val="auto"/>
              </w:rPr>
              <w:t>Characterization of Conveyances Pursuant to the Contribution Agreement</w:t>
            </w:r>
          </w:p>
        </w:tc>
        <w:tc>
          <w:tcPr>
            <w:tcW w:w="218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12.13</w:t>
            </w:r>
          </w:p>
        </w:tc>
        <w:tc>
          <w:tcPr>
            <w:tcW w:w="748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21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12.14</w:t>
            </w:r>
          </w:p>
        </w:tc>
        <w:tc>
          <w:tcPr>
            <w:tcW w:w="7480" w:type="dxa"/>
            <w:vAlign w:val="bottom"/>
          </w:tcPr>
          <w:p>
            <w:pPr>
              <w:ind w:left="260"/>
              <w:spacing w:after="0"/>
              <w:rPr>
                <w:sz w:val="20"/>
                <w:szCs w:val="20"/>
                <w:color w:val="auto"/>
              </w:rPr>
            </w:pPr>
            <w:r>
              <w:rPr>
                <w:rFonts w:ascii="Arial" w:cs="Arial" w:eastAsia="Arial" w:hAnsi="Arial"/>
                <w:sz w:val="18"/>
                <w:szCs w:val="18"/>
                <w:color w:val="auto"/>
              </w:rPr>
              <w:t>Non-Confidentiality of Tax Treatment</w:t>
            </w:r>
          </w:p>
        </w:tc>
        <w:tc>
          <w:tcPr>
            <w:tcW w:w="2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12.15</w:t>
            </w:r>
          </w:p>
        </w:tc>
        <w:tc>
          <w:tcPr>
            <w:tcW w:w="7480" w:type="dxa"/>
            <w:vAlign w:val="bottom"/>
          </w:tcPr>
          <w:p>
            <w:pPr>
              <w:ind w:left="260"/>
              <w:spacing w:after="0"/>
              <w:rPr>
                <w:sz w:val="20"/>
                <w:szCs w:val="20"/>
                <w:color w:val="auto"/>
              </w:rPr>
            </w:pPr>
            <w:r>
              <w:rPr>
                <w:rFonts w:ascii="Arial" w:cs="Arial" w:eastAsia="Arial" w:hAnsi="Arial"/>
                <w:sz w:val="18"/>
                <w:szCs w:val="18"/>
                <w:color w:val="auto"/>
              </w:rPr>
              <w:t>Right of Set Off</w:t>
            </w:r>
          </w:p>
        </w:tc>
        <w:tc>
          <w:tcPr>
            <w:tcW w:w="2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12.16</w:t>
            </w:r>
          </w:p>
        </w:tc>
        <w:tc>
          <w:tcPr>
            <w:tcW w:w="7480" w:type="dxa"/>
            <w:vAlign w:val="bottom"/>
          </w:tcPr>
          <w:p>
            <w:pPr>
              <w:ind w:left="260"/>
              <w:spacing w:after="0"/>
              <w:rPr>
                <w:sz w:val="20"/>
                <w:szCs w:val="20"/>
                <w:color w:val="auto"/>
              </w:rPr>
            </w:pPr>
            <w:r>
              <w:rPr>
                <w:rFonts w:ascii="Arial" w:cs="Arial" w:eastAsia="Arial" w:hAnsi="Arial"/>
                <w:sz w:val="18"/>
                <w:szCs w:val="18"/>
                <w:color w:val="auto"/>
              </w:rPr>
              <w:t>Headings and Exhibits</w:t>
            </w:r>
          </w:p>
        </w:tc>
        <w:tc>
          <w:tcPr>
            <w:tcW w:w="2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12.17</w:t>
            </w:r>
          </w:p>
        </w:tc>
        <w:tc>
          <w:tcPr>
            <w:tcW w:w="7480" w:type="dxa"/>
            <w:vAlign w:val="bottom"/>
          </w:tcPr>
          <w:p>
            <w:pPr>
              <w:ind w:left="260"/>
              <w:spacing w:after="0"/>
              <w:rPr>
                <w:sz w:val="20"/>
                <w:szCs w:val="20"/>
                <w:color w:val="auto"/>
              </w:rPr>
            </w:pPr>
            <w:r>
              <w:rPr>
                <w:rFonts w:ascii="Arial" w:cs="Arial" w:eastAsia="Arial" w:hAnsi="Arial"/>
                <w:sz w:val="18"/>
                <w:szCs w:val="18"/>
                <w:color w:val="auto"/>
              </w:rPr>
              <w:t>Ratable Payments</w:t>
            </w:r>
          </w:p>
        </w:tc>
        <w:tc>
          <w:tcPr>
            <w:tcW w:w="21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12.18</w:t>
            </w:r>
          </w:p>
        </w:tc>
        <w:tc>
          <w:tcPr>
            <w:tcW w:w="7480" w:type="dxa"/>
            <w:vAlign w:val="bottom"/>
          </w:tcPr>
          <w:p>
            <w:pPr>
              <w:ind w:left="260"/>
              <w:spacing w:after="0"/>
              <w:rPr>
                <w:sz w:val="20"/>
                <w:szCs w:val="20"/>
                <w:color w:val="auto"/>
              </w:rPr>
            </w:pPr>
            <w:r>
              <w:rPr>
                <w:rFonts w:ascii="Arial" w:cs="Arial" w:eastAsia="Arial" w:hAnsi="Arial"/>
                <w:sz w:val="18"/>
                <w:szCs w:val="18"/>
                <w:color w:val="auto"/>
              </w:rPr>
              <w:t>Failure of Borrower or Servicer to Perform Certain Obligations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12.19</w:t>
            </w:r>
          </w:p>
        </w:tc>
        <w:tc>
          <w:tcPr>
            <w:tcW w:w="7480" w:type="dxa"/>
            <w:vAlign w:val="bottom"/>
          </w:tcPr>
          <w:p>
            <w:pPr>
              <w:ind w:left="260"/>
              <w:spacing w:after="0"/>
              <w:rPr>
                <w:sz w:val="20"/>
                <w:szCs w:val="20"/>
                <w:color w:val="auto"/>
              </w:rPr>
            </w:pPr>
            <w:r>
              <w:rPr>
                <w:rFonts w:ascii="Arial" w:cs="Arial" w:eastAsia="Arial" w:hAnsi="Arial"/>
                <w:sz w:val="18"/>
                <w:szCs w:val="18"/>
                <w:color w:val="auto"/>
              </w:rPr>
              <w:t>Power of Attorney</w:t>
            </w:r>
          </w:p>
        </w:tc>
        <w:tc>
          <w:tcPr>
            <w:tcW w:w="21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12.20</w:t>
            </w:r>
          </w:p>
        </w:tc>
        <w:tc>
          <w:tcPr>
            <w:tcW w:w="7480" w:type="dxa"/>
            <w:vAlign w:val="bottom"/>
          </w:tcPr>
          <w:p>
            <w:pPr>
              <w:ind w:left="260"/>
              <w:spacing w:after="0"/>
              <w:rPr>
                <w:sz w:val="20"/>
                <w:szCs w:val="20"/>
                <w:color w:val="auto"/>
              </w:rPr>
            </w:pPr>
            <w:r>
              <w:rPr>
                <w:rFonts w:ascii="Arial" w:cs="Arial" w:eastAsia="Arial" w:hAnsi="Arial"/>
                <w:sz w:val="18"/>
                <w:szCs w:val="18"/>
                <w:color w:val="auto"/>
              </w:rPr>
              <w:t>Delivery of Termination Statements, Releases, etc.</w:t>
            </w:r>
          </w:p>
        </w:tc>
        <w:tc>
          <w:tcPr>
            <w:tcW w:w="21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12.21</w:t>
            </w:r>
          </w:p>
        </w:tc>
        <w:tc>
          <w:tcPr>
            <w:tcW w:w="7480" w:type="dxa"/>
            <w:vAlign w:val="bottom"/>
          </w:tcPr>
          <w:p>
            <w:pPr>
              <w:ind w:left="260"/>
              <w:spacing w:after="0"/>
              <w:rPr>
                <w:sz w:val="20"/>
                <w:szCs w:val="20"/>
                <w:color w:val="auto"/>
              </w:rPr>
            </w:pPr>
            <w:r>
              <w:rPr>
                <w:rFonts w:ascii="Arial" w:cs="Arial" w:eastAsia="Arial" w:hAnsi="Arial"/>
                <w:sz w:val="18"/>
                <w:szCs w:val="18"/>
                <w:color w:val="auto"/>
              </w:rPr>
              <w:t>USA PATRIOT Act</w:t>
            </w:r>
          </w:p>
        </w:tc>
        <w:tc>
          <w:tcPr>
            <w:tcW w:w="21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12.22</w:t>
            </w:r>
          </w:p>
        </w:tc>
        <w:tc>
          <w:tcPr>
            <w:tcW w:w="7480" w:type="dxa"/>
            <w:vAlign w:val="bottom"/>
          </w:tcPr>
          <w:p>
            <w:pPr>
              <w:ind w:left="26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1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430"/>
        </w:trPr>
        <w:tc>
          <w:tcPr>
            <w:tcW w:w="1260" w:type="dxa"/>
            <w:vAlign w:val="bottom"/>
          </w:tcPr>
          <w:p>
            <w:pPr>
              <w:spacing w:after="0"/>
              <w:rPr>
                <w:sz w:val="24"/>
                <w:szCs w:val="24"/>
                <w:color w:val="auto"/>
              </w:rPr>
            </w:pPr>
          </w:p>
        </w:tc>
        <w:tc>
          <w:tcPr>
            <w:tcW w:w="7480" w:type="dxa"/>
            <w:vAlign w:val="bottom"/>
          </w:tcPr>
          <w:p>
            <w:pPr>
              <w:jc w:val="center"/>
              <w:ind w:left="810"/>
              <w:spacing w:after="0"/>
              <w:rPr>
                <w:sz w:val="20"/>
                <w:szCs w:val="20"/>
                <w:color w:val="auto"/>
              </w:rPr>
            </w:pPr>
            <w:r>
              <w:rPr>
                <w:rFonts w:ascii="Arial" w:cs="Arial" w:eastAsia="Arial" w:hAnsi="Arial"/>
                <w:sz w:val="18"/>
                <w:szCs w:val="18"/>
                <w:color w:val="auto"/>
              </w:rPr>
              <w:t>ARTICLE XIII</w:t>
            </w:r>
          </w:p>
        </w:tc>
        <w:tc>
          <w:tcPr>
            <w:tcW w:w="2180" w:type="dxa"/>
            <w:vAlign w:val="bottom"/>
          </w:tcPr>
          <w:p>
            <w:pPr>
              <w:spacing w:after="0"/>
              <w:rPr>
                <w:sz w:val="24"/>
                <w:szCs w:val="24"/>
                <w:color w:val="auto"/>
              </w:rPr>
            </w:pPr>
          </w:p>
        </w:tc>
      </w:tr>
      <w:tr>
        <w:trPr>
          <w:trHeight w:val="430"/>
        </w:trPr>
        <w:tc>
          <w:tcPr>
            <w:tcW w:w="1260" w:type="dxa"/>
            <w:vAlign w:val="bottom"/>
          </w:tcPr>
          <w:p>
            <w:pPr>
              <w:spacing w:after="0"/>
              <w:rPr>
                <w:sz w:val="24"/>
                <w:szCs w:val="24"/>
                <w:color w:val="auto"/>
              </w:rPr>
            </w:pPr>
          </w:p>
        </w:tc>
        <w:tc>
          <w:tcPr>
            <w:tcW w:w="7480" w:type="dxa"/>
            <w:vAlign w:val="bottom"/>
          </w:tcPr>
          <w:p>
            <w:pPr>
              <w:jc w:val="center"/>
              <w:ind w:left="830"/>
              <w:spacing w:after="0"/>
              <w:rPr>
                <w:sz w:val="20"/>
                <w:szCs w:val="20"/>
                <w:color w:val="auto"/>
              </w:rPr>
            </w:pPr>
            <w:r>
              <w:rPr>
                <w:rFonts w:ascii="Arial" w:cs="Arial" w:eastAsia="Arial" w:hAnsi="Arial"/>
                <w:sz w:val="18"/>
                <w:szCs w:val="18"/>
                <w:color w:val="auto"/>
                <w:w w:val="98"/>
              </w:rPr>
              <w:t>COLLATERAL CUSTODIAN</w:t>
            </w:r>
          </w:p>
        </w:tc>
        <w:tc>
          <w:tcPr>
            <w:tcW w:w="2180" w:type="dxa"/>
            <w:vAlign w:val="bottom"/>
          </w:tcPr>
          <w:p>
            <w:pPr>
              <w:spacing w:after="0"/>
              <w:rPr>
                <w:sz w:val="24"/>
                <w:szCs w:val="24"/>
                <w:color w:val="auto"/>
              </w:rPr>
            </w:pPr>
          </w:p>
        </w:tc>
      </w:tr>
      <w:tr>
        <w:trPr>
          <w:trHeight w:val="415"/>
        </w:trPr>
        <w:tc>
          <w:tcPr>
            <w:tcW w:w="1260" w:type="dxa"/>
            <w:vAlign w:val="bottom"/>
          </w:tcPr>
          <w:p>
            <w:pPr>
              <w:spacing w:after="0"/>
              <w:rPr>
                <w:sz w:val="20"/>
                <w:szCs w:val="20"/>
                <w:color w:val="auto"/>
              </w:rPr>
            </w:pPr>
            <w:r>
              <w:rPr>
                <w:rFonts w:ascii="Arial" w:cs="Arial" w:eastAsia="Arial" w:hAnsi="Arial"/>
                <w:sz w:val="18"/>
                <w:szCs w:val="18"/>
                <w:color w:val="auto"/>
              </w:rPr>
              <w:t>Section 13.01</w:t>
            </w:r>
          </w:p>
        </w:tc>
        <w:tc>
          <w:tcPr>
            <w:tcW w:w="7480" w:type="dxa"/>
            <w:vAlign w:val="bottom"/>
          </w:tcPr>
          <w:p>
            <w:pPr>
              <w:ind w:left="260"/>
              <w:spacing w:after="0"/>
              <w:rPr>
                <w:sz w:val="20"/>
                <w:szCs w:val="20"/>
                <w:color w:val="auto"/>
              </w:rPr>
            </w:pPr>
            <w:r>
              <w:rPr>
                <w:rFonts w:ascii="Arial" w:cs="Arial" w:eastAsia="Arial" w:hAnsi="Arial"/>
                <w:sz w:val="18"/>
                <w:szCs w:val="18"/>
                <w:color w:val="auto"/>
              </w:rPr>
              <w:t>Designation of Collateral Custodian</w:t>
            </w:r>
          </w:p>
        </w:tc>
        <w:tc>
          <w:tcPr>
            <w:tcW w:w="21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13.02</w:t>
            </w:r>
          </w:p>
        </w:tc>
        <w:tc>
          <w:tcPr>
            <w:tcW w:w="7480" w:type="dxa"/>
            <w:vAlign w:val="bottom"/>
          </w:tcPr>
          <w:p>
            <w:pPr>
              <w:ind w:left="260"/>
              <w:spacing w:after="0"/>
              <w:rPr>
                <w:sz w:val="20"/>
                <w:szCs w:val="20"/>
                <w:color w:val="auto"/>
              </w:rPr>
            </w:pPr>
            <w:r>
              <w:rPr>
                <w:rFonts w:ascii="Arial" w:cs="Arial" w:eastAsia="Arial" w:hAnsi="Arial"/>
                <w:sz w:val="18"/>
                <w:szCs w:val="18"/>
                <w:color w:val="auto"/>
              </w:rPr>
              <w:t>Duties of Collateral Custodian</w:t>
            </w:r>
          </w:p>
        </w:tc>
        <w:tc>
          <w:tcPr>
            <w:tcW w:w="21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13.03</w:t>
            </w:r>
          </w:p>
        </w:tc>
        <w:tc>
          <w:tcPr>
            <w:tcW w:w="7480" w:type="dxa"/>
            <w:vAlign w:val="bottom"/>
          </w:tcPr>
          <w:p>
            <w:pPr>
              <w:ind w:left="260"/>
              <w:spacing w:after="0"/>
              <w:rPr>
                <w:sz w:val="20"/>
                <w:szCs w:val="20"/>
                <w:color w:val="auto"/>
              </w:rPr>
            </w:pPr>
            <w:r>
              <w:rPr>
                <w:rFonts w:ascii="Arial" w:cs="Arial" w:eastAsia="Arial" w:hAnsi="Arial"/>
                <w:sz w:val="18"/>
                <w:szCs w:val="18"/>
                <w:color w:val="auto"/>
              </w:rPr>
              <w:t>Merger or Consolidation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13.04</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Custodian Compensation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13.05</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Custodian Removal</w:t>
            </w:r>
          </w:p>
        </w:tc>
        <w:tc>
          <w:tcPr>
            <w:tcW w:w="21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5"/>
        </w:trPr>
        <w:tc>
          <w:tcPr>
            <w:tcW w:w="1260" w:type="dxa"/>
            <w:vAlign w:val="bottom"/>
          </w:tcPr>
          <w:p>
            <w:pPr>
              <w:spacing w:after="0"/>
              <w:rPr>
                <w:sz w:val="20"/>
                <w:szCs w:val="20"/>
                <w:color w:val="auto"/>
              </w:rPr>
            </w:pPr>
            <w:r>
              <w:rPr>
                <w:rFonts w:ascii="Arial" w:cs="Arial" w:eastAsia="Arial" w:hAnsi="Arial"/>
                <w:sz w:val="18"/>
                <w:szCs w:val="18"/>
                <w:color w:val="auto"/>
              </w:rPr>
              <w:t>Section 13.06</w:t>
            </w:r>
          </w:p>
        </w:tc>
        <w:tc>
          <w:tcPr>
            <w:tcW w:w="7480" w:type="dxa"/>
            <w:vAlign w:val="bottom"/>
          </w:tcPr>
          <w:p>
            <w:pPr>
              <w:ind w:left="260"/>
              <w:spacing w:after="0"/>
              <w:rPr>
                <w:sz w:val="20"/>
                <w:szCs w:val="20"/>
                <w:color w:val="auto"/>
              </w:rPr>
            </w:pPr>
            <w:r>
              <w:rPr>
                <w:rFonts w:ascii="Arial" w:cs="Arial" w:eastAsia="Arial" w:hAnsi="Arial"/>
                <w:sz w:val="18"/>
                <w:szCs w:val="18"/>
                <w:color w:val="auto"/>
              </w:rPr>
              <w:t>Limitation on Liability</w:t>
            </w:r>
          </w:p>
        </w:tc>
        <w:tc>
          <w:tcPr>
            <w:tcW w:w="21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13.07</w:t>
            </w:r>
          </w:p>
        </w:tc>
        <w:tc>
          <w:tcPr>
            <w:tcW w:w="7480" w:type="dxa"/>
            <w:vAlign w:val="bottom"/>
          </w:tcPr>
          <w:p>
            <w:pPr>
              <w:ind w:left="260"/>
              <w:spacing w:after="0"/>
              <w:rPr>
                <w:sz w:val="20"/>
                <w:szCs w:val="20"/>
                <w:color w:val="auto"/>
              </w:rPr>
            </w:pPr>
            <w:r>
              <w:rPr>
                <w:rFonts w:ascii="Arial" w:cs="Arial" w:eastAsia="Arial" w:hAnsi="Arial"/>
                <w:sz w:val="18"/>
                <w:szCs w:val="18"/>
                <w:color w:val="auto"/>
              </w:rPr>
              <w:t>Collateral Custodian Resignation</w:t>
            </w:r>
          </w:p>
        </w:tc>
        <w:tc>
          <w:tcPr>
            <w:tcW w:w="2180" w:type="dxa"/>
            <w:vAlign w:val="bottom"/>
          </w:tcPr>
          <w:p>
            <w:pPr>
              <w:jc w:val="right"/>
              <w:spacing w:after="0"/>
              <w:rPr>
                <w:sz w:val="20"/>
                <w:szCs w:val="20"/>
                <w:color w:val="auto"/>
              </w:rPr>
            </w:pPr>
            <w:r>
              <w:rPr>
                <w:rFonts w:ascii="Arial" w:cs="Arial" w:eastAsia="Arial" w:hAnsi="Arial"/>
                <w:sz w:val="18"/>
                <w:szCs w:val="18"/>
                <w:color w:val="auto"/>
              </w:rPr>
              <w:t>202</w:t>
            </w: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20"/>
          </w:cols>
          <w:pgMar w:left="460" w:top="273" w:right="5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Section 13.08</w:t>
            </w:r>
          </w:p>
        </w:tc>
        <w:tc>
          <w:tcPr>
            <w:tcW w:w="8500" w:type="dxa"/>
            <w:vAlign w:val="bottom"/>
            <w:gridSpan w:val="3"/>
          </w:tcPr>
          <w:p>
            <w:pPr>
              <w:ind w:left="180"/>
              <w:spacing w:after="0"/>
              <w:rPr>
                <w:sz w:val="20"/>
                <w:szCs w:val="20"/>
                <w:color w:val="auto"/>
              </w:rPr>
            </w:pPr>
            <w:r>
              <w:rPr>
                <w:rFonts w:ascii="Arial" w:cs="Arial" w:eastAsia="Arial" w:hAnsi="Arial"/>
                <w:sz w:val="18"/>
                <w:szCs w:val="18"/>
                <w:color w:val="auto"/>
              </w:rPr>
              <w:t>Release of Documents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Section 13.09</w:t>
            </w:r>
          </w:p>
        </w:tc>
        <w:tc>
          <w:tcPr>
            <w:tcW w:w="8500" w:type="dxa"/>
            <w:vAlign w:val="bottom"/>
            <w:gridSpan w:val="3"/>
          </w:tcPr>
          <w:p>
            <w:pPr>
              <w:ind w:left="180"/>
              <w:spacing w:after="0"/>
              <w:rPr>
                <w:sz w:val="20"/>
                <w:szCs w:val="20"/>
                <w:color w:val="auto"/>
              </w:rPr>
            </w:pPr>
            <w:r>
              <w:rPr>
                <w:rFonts w:ascii="Arial" w:cs="Arial" w:eastAsia="Arial" w:hAnsi="Arial"/>
                <w:sz w:val="18"/>
                <w:szCs w:val="18"/>
                <w:color w:val="auto"/>
              </w:rPr>
              <w:t>Return of Required Loan Documents</w:t>
            </w: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Section 13.10</w:t>
            </w:r>
          </w:p>
        </w:tc>
        <w:tc>
          <w:tcPr>
            <w:tcW w:w="8500" w:type="dxa"/>
            <w:vAlign w:val="bottom"/>
            <w:gridSpan w:val="3"/>
          </w:tcPr>
          <w:p>
            <w:pPr>
              <w:ind w:left="180"/>
              <w:spacing w:after="0"/>
              <w:rPr>
                <w:sz w:val="20"/>
                <w:szCs w:val="20"/>
                <w:color w:val="auto"/>
              </w:rPr>
            </w:pPr>
            <w:r>
              <w:rPr>
                <w:rFonts w:ascii="Arial" w:cs="Arial" w:eastAsia="Arial" w:hAnsi="Arial"/>
                <w:sz w:val="18"/>
                <w:szCs w:val="18"/>
                <w:color w:val="auto"/>
              </w:rPr>
              <w:t>Access to Certain Documentation and Information Regarding the Collateral Portfolio; Audits of Servicer</w:t>
            </w: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1340" w:type="dxa"/>
            <w:vAlign w:val="bottom"/>
            <w:gridSpan w:val="4"/>
          </w:tcPr>
          <w:p>
            <w:pPr>
              <w:spacing w:after="0"/>
              <w:rPr>
                <w:sz w:val="20"/>
                <w:szCs w:val="20"/>
                <w:color w:val="auto"/>
              </w:rPr>
            </w:pPr>
            <w:r>
              <w:rPr>
                <w:rFonts w:ascii="Arial" w:cs="Arial" w:eastAsia="Arial" w:hAnsi="Arial"/>
                <w:sz w:val="18"/>
                <w:szCs w:val="18"/>
                <w:color w:val="auto"/>
              </w:rPr>
              <w:t>Section 13.11</w:t>
            </w:r>
          </w:p>
        </w:tc>
        <w:tc>
          <w:tcPr>
            <w:tcW w:w="8500" w:type="dxa"/>
            <w:vAlign w:val="bottom"/>
            <w:gridSpan w:val="3"/>
          </w:tcPr>
          <w:p>
            <w:pPr>
              <w:ind w:left="180"/>
              <w:spacing w:after="0"/>
              <w:rPr>
                <w:sz w:val="20"/>
                <w:szCs w:val="20"/>
                <w:color w:val="auto"/>
              </w:rPr>
            </w:pPr>
            <w:r>
              <w:rPr>
                <w:rFonts w:ascii="Arial" w:cs="Arial" w:eastAsia="Arial" w:hAnsi="Arial"/>
                <w:sz w:val="18"/>
                <w:szCs w:val="18"/>
                <w:color w:val="auto"/>
              </w:rPr>
              <w:t>Bailment</w:t>
            </w: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389"/>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LIST OF SCHEDULES AND EXHIBITS</w:t>
            </w:r>
          </w:p>
        </w:tc>
        <w:tc>
          <w:tcPr>
            <w:tcW w:w="1080" w:type="dxa"/>
            <w:vAlign w:val="bottom"/>
          </w:tcPr>
          <w:p>
            <w:pPr>
              <w:spacing w:after="0"/>
              <w:rPr>
                <w:sz w:val="24"/>
                <w:szCs w:val="24"/>
                <w:color w:val="auto"/>
              </w:rPr>
            </w:pPr>
          </w:p>
        </w:tc>
      </w:tr>
      <w:tr>
        <w:trPr>
          <w:trHeight w:val="437"/>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SCHEDULES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1"/>
        </w:trPr>
        <w:tc>
          <w:tcPr>
            <w:tcW w:w="1340" w:type="dxa"/>
            <w:vAlign w:val="bottom"/>
            <w:gridSpan w:val="4"/>
          </w:tcPr>
          <w:p>
            <w:pPr>
              <w:spacing w:after="0"/>
              <w:rPr>
                <w:sz w:val="20"/>
                <w:szCs w:val="20"/>
                <w:color w:val="auto"/>
              </w:rPr>
            </w:pPr>
            <w:r>
              <w:rPr>
                <w:rFonts w:ascii="Arial" w:cs="Arial" w:eastAsia="Arial" w:hAnsi="Arial"/>
                <w:sz w:val="18"/>
                <w:szCs w:val="18"/>
                <w:color w:val="auto"/>
              </w:rPr>
              <w:t>SCHEDULE I</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Conditions Precedent Documents</w:t>
            </w:r>
          </w:p>
        </w:tc>
        <w:tc>
          <w:tcPr>
            <w:tcW w:w="1080" w:type="dxa"/>
            <w:vAlign w:val="bottom"/>
          </w:tcPr>
          <w:p>
            <w:pPr>
              <w:spacing w:after="0"/>
              <w:rPr>
                <w:sz w:val="19"/>
                <w:szCs w:val="19"/>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SCHEDULE II</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Prior Names, Tradenames, Fictitious Names and “Doing Business As” Names</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SCHEDULE III</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Eligibility Criteria</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SCHEDULE IV</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Loan Asset Schedule</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SCHEDULE V</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Advance Date Assigned Values</w:t>
            </w:r>
          </w:p>
        </w:tc>
        <w:tc>
          <w:tcPr>
            <w:tcW w:w="1080" w:type="dxa"/>
            <w:vAlign w:val="bottom"/>
          </w:tcPr>
          <w:p>
            <w:pPr>
              <w:spacing w:after="0"/>
              <w:rPr>
                <w:sz w:val="18"/>
                <w:szCs w:val="18"/>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18"/>
                <w:szCs w:val="18"/>
                <w:color w:val="auto"/>
              </w:rPr>
              <w:t>SCHEDULE VI</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Nationally Recognized Valuation Firms</w:t>
            </w:r>
          </w:p>
        </w:tc>
        <w:tc>
          <w:tcPr>
            <w:tcW w:w="1080" w:type="dxa"/>
            <w:vAlign w:val="bottom"/>
          </w:tcPr>
          <w:p>
            <w:pPr>
              <w:spacing w:after="0"/>
              <w:rPr>
                <w:sz w:val="19"/>
                <w:szCs w:val="19"/>
                <w:color w:val="auto"/>
              </w:rPr>
            </w:pPr>
          </w:p>
        </w:tc>
      </w:tr>
      <w:tr>
        <w:trPr>
          <w:trHeight w:val="389"/>
        </w:trPr>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EXHIBITS</w:t>
            </w:r>
          </w:p>
        </w:tc>
        <w:tc>
          <w:tcPr>
            <w:tcW w:w="520" w:type="dxa"/>
            <w:vAlign w:val="bottom"/>
            <w:gridSpan w:val="3"/>
          </w:tcPr>
          <w:p>
            <w:pPr>
              <w:spacing w:after="0"/>
              <w:rPr>
                <w:sz w:val="24"/>
                <w:szCs w:val="24"/>
                <w:color w:val="auto"/>
              </w:rPr>
            </w:pPr>
          </w:p>
        </w:tc>
        <w:tc>
          <w:tcPr>
            <w:tcW w:w="2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1"/>
        </w:trPr>
        <w:tc>
          <w:tcPr>
            <w:tcW w:w="134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[Reserved]</w:t>
            </w:r>
          </w:p>
        </w:tc>
        <w:tc>
          <w:tcPr>
            <w:tcW w:w="1080" w:type="dxa"/>
            <w:vAlign w:val="bottom"/>
          </w:tcPr>
          <w:p>
            <w:pPr>
              <w:spacing w:after="0"/>
              <w:rPr>
                <w:sz w:val="19"/>
                <w:szCs w:val="19"/>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Credit and Collection Policy</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Borrowing Base Certificate</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D-1</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Disbursement Request</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D-2</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URCA Disbursement Request</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D-3</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[Reserved]</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Joinder Supplement</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F</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Notice of Borrowing</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G</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Notice of Reduction (Reduction of Advances Outstanding)</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H</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Revolving Note</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I</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Notice of Loan Asset Dividend</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J</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Certificate of Closing Attorneys</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K</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Servicing Report</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L</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Servicer’s Certificate (Servicing Report)</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M</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Release of Required Loan Documents</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N</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Transferee Letter</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O</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Power of Attorney for Servicer</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P</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Power of Attorney for Borrower</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Q</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Servicer’s Certificate (Loan Asset Register)</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R</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Tax Certificate</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S</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Loan Asset Schedule</w:t>
            </w:r>
          </w:p>
        </w:tc>
        <w:tc>
          <w:tcPr>
            <w:tcW w:w="1080" w:type="dxa"/>
            <w:vAlign w:val="bottom"/>
          </w:tcPr>
          <w:p>
            <w:pPr>
              <w:spacing w:after="0"/>
              <w:rPr>
                <w:sz w:val="18"/>
                <w:szCs w:val="18"/>
                <w:color w:val="auto"/>
              </w:rPr>
            </w:pPr>
          </w:p>
        </w:tc>
      </w:tr>
      <w:tr>
        <w:trPr>
          <w:trHeight w:val="215"/>
        </w:trPr>
        <w:tc>
          <w:tcPr>
            <w:tcW w:w="1340" w:type="dxa"/>
            <w:vAlign w:val="bottom"/>
            <w:gridSpan w:val="4"/>
          </w:tcPr>
          <w:p>
            <w:pPr>
              <w:spacing w:after="0"/>
              <w:rPr>
                <w:sz w:val="20"/>
                <w:szCs w:val="20"/>
                <w:color w:val="auto"/>
              </w:rPr>
            </w:pPr>
            <w:r>
              <w:rPr>
                <w:rFonts w:ascii="Arial" w:cs="Arial" w:eastAsia="Arial" w:hAnsi="Arial"/>
                <w:sz w:val="18"/>
                <w:szCs w:val="18"/>
                <w:color w:val="auto"/>
              </w:rPr>
              <w:t>EXHIBIT T</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Form of Compliance Certificate (Required Asset Coverage Ratio)</w:t>
            </w:r>
          </w:p>
        </w:tc>
        <w:tc>
          <w:tcPr>
            <w:tcW w:w="1080" w:type="dxa"/>
            <w:vAlign w:val="bottom"/>
          </w:tcPr>
          <w:p>
            <w:pPr>
              <w:spacing w:after="0"/>
              <w:rPr>
                <w:sz w:val="18"/>
                <w:szCs w:val="18"/>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18"/>
                <w:szCs w:val="18"/>
                <w:color w:val="auto"/>
              </w:rPr>
              <w:t>EXHIBIT U</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Additional Terms Addendum</w:t>
            </w:r>
          </w:p>
        </w:tc>
        <w:tc>
          <w:tcPr>
            <w:tcW w:w="1080" w:type="dxa"/>
            <w:vAlign w:val="bottom"/>
          </w:tcPr>
          <w:p>
            <w:pPr>
              <w:spacing w:after="0"/>
              <w:rPr>
                <w:sz w:val="19"/>
                <w:szCs w:val="19"/>
                <w:color w:val="auto"/>
              </w:rPr>
            </w:pPr>
          </w:p>
        </w:tc>
      </w:tr>
      <w:tr>
        <w:trPr>
          <w:trHeight w:val="389"/>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ANNEXES</w:t>
            </w:r>
          </w:p>
        </w:tc>
        <w:tc>
          <w:tcPr>
            <w:tcW w:w="500" w:type="dxa"/>
            <w:vAlign w:val="bottom"/>
            <w:gridSpan w:val="2"/>
          </w:tcPr>
          <w:p>
            <w:pPr>
              <w:spacing w:after="0"/>
              <w:rPr>
                <w:sz w:val="24"/>
                <w:szCs w:val="24"/>
                <w:color w:val="auto"/>
              </w:rPr>
            </w:pPr>
          </w:p>
        </w:tc>
        <w:tc>
          <w:tcPr>
            <w:tcW w:w="2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1"/>
        </w:trPr>
        <w:tc>
          <w:tcPr>
            <w:tcW w:w="1340" w:type="dxa"/>
            <w:vAlign w:val="bottom"/>
            <w:gridSpan w:val="4"/>
          </w:tcPr>
          <w:p>
            <w:pPr>
              <w:spacing w:after="0"/>
              <w:rPr>
                <w:sz w:val="20"/>
                <w:szCs w:val="20"/>
                <w:color w:val="auto"/>
              </w:rPr>
            </w:pPr>
            <w:r>
              <w:rPr>
                <w:rFonts w:ascii="Arial" w:cs="Arial" w:eastAsia="Arial" w:hAnsi="Arial"/>
                <w:sz w:val="18"/>
                <w:szCs w:val="18"/>
                <w:color w:val="auto"/>
              </w:rPr>
              <w:t>ANNEX A</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Commitments</w:t>
            </w:r>
          </w:p>
        </w:tc>
        <w:tc>
          <w:tcPr>
            <w:tcW w:w="1080" w:type="dxa"/>
            <w:vAlign w:val="bottom"/>
          </w:tcPr>
          <w:p>
            <w:pPr>
              <w:spacing w:after="0"/>
              <w:rPr>
                <w:sz w:val="19"/>
                <w:szCs w:val="19"/>
                <w:color w:val="auto"/>
              </w:rPr>
            </w:pPr>
          </w:p>
        </w:tc>
      </w:tr>
      <w:tr>
        <w:trPr>
          <w:trHeight w:val="230"/>
        </w:trPr>
        <w:tc>
          <w:tcPr>
            <w:tcW w:w="1340" w:type="dxa"/>
            <w:vAlign w:val="bottom"/>
            <w:gridSpan w:val="4"/>
          </w:tcPr>
          <w:p>
            <w:pPr>
              <w:spacing w:after="0"/>
              <w:rPr>
                <w:sz w:val="20"/>
                <w:szCs w:val="20"/>
                <w:color w:val="auto"/>
              </w:rPr>
            </w:pPr>
            <w:r>
              <w:rPr>
                <w:rFonts w:ascii="Arial" w:cs="Arial" w:eastAsia="Arial" w:hAnsi="Arial"/>
                <w:sz w:val="18"/>
                <w:szCs w:val="18"/>
                <w:color w:val="auto"/>
              </w:rPr>
              <w:t>ANNEX B</w:t>
            </w:r>
          </w:p>
        </w:tc>
        <w:tc>
          <w:tcPr>
            <w:tcW w:w="8500" w:type="dxa"/>
            <w:vAlign w:val="bottom"/>
            <w:gridSpan w:val="3"/>
          </w:tcPr>
          <w:p>
            <w:pPr>
              <w:ind w:left="200"/>
              <w:spacing w:after="0"/>
              <w:rPr>
                <w:sz w:val="20"/>
                <w:szCs w:val="20"/>
                <w:color w:val="auto"/>
              </w:rPr>
            </w:pPr>
            <w:r>
              <w:rPr>
                <w:rFonts w:ascii="Arial" w:cs="Arial" w:eastAsia="Arial" w:hAnsi="Arial"/>
                <w:sz w:val="18"/>
                <w:szCs w:val="18"/>
                <w:color w:val="auto"/>
              </w:rPr>
              <w:t>Borrowing Base Model</w:t>
            </w:r>
          </w:p>
        </w:tc>
        <w:tc>
          <w:tcPr>
            <w:tcW w:w="1080" w:type="dxa"/>
            <w:vAlign w:val="bottom"/>
          </w:tcPr>
          <w:p>
            <w:pPr>
              <w:spacing w:after="0"/>
              <w:rPr>
                <w:sz w:val="19"/>
                <w:szCs w:val="19"/>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20"/>
          </w:cols>
          <w:pgMar w:left="460" w:top="273" w:right="519" w:bottom="1440" w:gutter="0" w:footer="0" w:header="0"/>
        </w:sectPr>
      </w:pPr>
    </w:p>
    <w:bookmarkStart w:id="63" w:name="page64"/>
    <w:bookmarkEnd w:id="63"/>
    <w:p>
      <w:pPr>
        <w:ind w:lef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LOAN AND SERVICING AGREEMENT</w:t>
      </w:r>
      <w:r>
        <w:rPr>
          <w:rFonts w:ascii="Arial" w:cs="Arial" w:eastAsia="Arial" w:hAnsi="Arial"/>
          <w:sz w:val="17"/>
          <w:szCs w:val="17"/>
          <w:color w:val="auto"/>
        </w:rPr>
        <w:t>, dated as of August 26, 2011 (as amended through the Tenth Amendment, dated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29, 2021), by and among:</w:t>
      </w:r>
    </w:p>
    <w:p>
      <w:pPr>
        <w:spacing w:after="0" w:line="97" w:lineRule="exact"/>
        <w:rPr>
          <w:sz w:val="20"/>
          <w:szCs w:val="20"/>
          <w:color w:val="auto"/>
        </w:rPr>
      </w:pPr>
    </w:p>
    <w:p>
      <w:pPr>
        <w:ind w:left="1240" w:hanging="251"/>
        <w:spacing w:after="0"/>
        <w:tabs>
          <w:tab w:leader="none" w:pos="124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SUNS SPV LLC</w:t>
      </w:r>
      <w:r>
        <w:rPr>
          <w:rFonts w:ascii="Arial" w:cs="Arial" w:eastAsia="Arial" w:hAnsi="Arial"/>
          <w:sz w:val="16"/>
          <w:szCs w:val="16"/>
          <w:color w:val="auto"/>
        </w:rPr>
        <w:t>, a Delaware limited liability company (together with its successors and assigns in such capacity, the “</w:t>
      </w:r>
      <w:r>
        <w:rPr>
          <w:rFonts w:ascii="Arial" w:cs="Arial" w:eastAsia="Arial" w:hAnsi="Arial"/>
          <w:sz w:val="16"/>
          <w:szCs w:val="16"/>
          <w:u w:val="single" w:color="auto"/>
          <w:color w:val="auto"/>
        </w:rPr>
        <w:t>Borrower</w:t>
      </w:r>
      <w:r>
        <w:rPr>
          <w:rFonts w:ascii="Arial" w:cs="Arial" w:eastAsia="Arial" w:hAnsi="Arial"/>
          <w:sz w:val="16"/>
          <w:szCs w:val="16"/>
          <w:color w:val="auto"/>
        </w:rPr>
        <w:t>”);</w:t>
      </w:r>
    </w:p>
    <w:p>
      <w:pPr>
        <w:spacing w:after="0" w:line="138" w:lineRule="exact"/>
        <w:rPr>
          <w:rFonts w:ascii="Arial" w:cs="Arial" w:eastAsia="Arial" w:hAnsi="Arial"/>
          <w:sz w:val="16"/>
          <w:szCs w:val="16"/>
          <w:color w:val="auto"/>
        </w:rPr>
      </w:pPr>
    </w:p>
    <w:p>
      <w:pPr>
        <w:ind w:right="300" w:firstLine="989"/>
        <w:spacing w:after="0" w:line="280"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SLR SENIOR INVESTMENT CORP. (F/K/A SOLAR SENIOR CAPITAL LTD.)</w:t>
      </w:r>
      <w:r>
        <w:rPr>
          <w:rFonts w:ascii="Arial" w:cs="Arial" w:eastAsia="Arial" w:hAnsi="Arial"/>
          <w:sz w:val="18"/>
          <w:szCs w:val="18"/>
          <w:color w:val="auto"/>
        </w:rPr>
        <w:t>, a Maryland corporation, as the Servicer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and the Transferor (as defined herein);</w:t>
      </w:r>
    </w:p>
    <w:p>
      <w:pPr>
        <w:spacing w:after="0" w:line="54" w:lineRule="exact"/>
        <w:rPr>
          <w:rFonts w:ascii="Arial" w:cs="Arial" w:eastAsia="Arial" w:hAnsi="Arial"/>
          <w:sz w:val="18"/>
          <w:szCs w:val="18"/>
          <w:color w:val="auto"/>
        </w:rPr>
      </w:pPr>
    </w:p>
    <w:p>
      <w:pPr>
        <w:ind w:left="1240" w:hanging="25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b w:val="1"/>
          <w:bCs w:val="1"/>
          <w:color w:val="auto"/>
        </w:rPr>
        <w:t>CONDUIT LENDERS</w:t>
      </w:r>
      <w:r>
        <w:rPr>
          <w:rFonts w:ascii="Arial" w:cs="Arial" w:eastAsia="Arial" w:hAnsi="Arial"/>
          <w:sz w:val="18"/>
          <w:szCs w:val="18"/>
          <w:color w:val="auto"/>
        </w:rPr>
        <w:t xml:space="preserve"> FROM TIME TO TIME PARTY HERETO, as a Conduit Lender (as defined herein);</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b w:val="1"/>
          <w:bCs w:val="1"/>
          <w:color w:val="auto"/>
        </w:rPr>
        <w:t>LIQUIDITY BANKS</w:t>
      </w:r>
      <w:r>
        <w:rPr>
          <w:rFonts w:ascii="Arial" w:cs="Arial" w:eastAsia="Arial" w:hAnsi="Arial"/>
          <w:sz w:val="18"/>
          <w:szCs w:val="18"/>
          <w:color w:val="auto"/>
        </w:rPr>
        <w:t xml:space="preserve"> FROM TIME TO TIME PARTY HERETO, as a Liquidity Bank (as defined herein);</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EACH OF THE </w:t>
      </w:r>
      <w:r>
        <w:rPr>
          <w:rFonts w:ascii="Arial" w:cs="Arial" w:eastAsia="Arial" w:hAnsi="Arial"/>
          <w:sz w:val="18"/>
          <w:szCs w:val="18"/>
          <w:b w:val="1"/>
          <w:bCs w:val="1"/>
          <w:color w:val="auto"/>
        </w:rPr>
        <w:t>LENDER AGENTS</w:t>
      </w:r>
      <w:r>
        <w:rPr>
          <w:rFonts w:ascii="Arial" w:cs="Arial" w:eastAsia="Arial" w:hAnsi="Arial"/>
          <w:sz w:val="18"/>
          <w:szCs w:val="18"/>
          <w:color w:val="auto"/>
        </w:rPr>
        <w:t xml:space="preserve"> FROM TIME TO TIME PARTY HERETO, as a Lender Agent (as defined herein);</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EACH OF THE </w:t>
      </w:r>
      <w:r>
        <w:rPr>
          <w:rFonts w:ascii="Arial" w:cs="Arial" w:eastAsia="Arial" w:hAnsi="Arial"/>
          <w:sz w:val="17"/>
          <w:szCs w:val="17"/>
          <w:b w:val="1"/>
          <w:bCs w:val="1"/>
          <w:color w:val="auto"/>
        </w:rPr>
        <w:t>INSTITUTIONAL LENDERS</w:t>
      </w:r>
      <w:r>
        <w:rPr>
          <w:rFonts w:ascii="Arial" w:cs="Arial" w:eastAsia="Arial" w:hAnsi="Arial"/>
          <w:sz w:val="17"/>
          <w:szCs w:val="17"/>
          <w:color w:val="auto"/>
        </w:rPr>
        <w:t xml:space="preserve"> FROM TIME TO TIME PARTY HERETO, as an Institutional Lender (as defined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herein);</w:t>
      </w:r>
    </w:p>
    <w:p>
      <w:pPr>
        <w:spacing w:after="0" w:line="96" w:lineRule="exact"/>
        <w:rPr>
          <w:rFonts w:ascii="Arial" w:cs="Arial" w:eastAsia="Arial" w:hAnsi="Arial"/>
          <w:sz w:val="17"/>
          <w:szCs w:val="17"/>
          <w:color w:val="auto"/>
        </w:rPr>
      </w:pPr>
    </w:p>
    <w:p>
      <w:pPr>
        <w:ind w:left="1240" w:hanging="25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the Collateral Agent (as defined herein);</w:t>
      </w:r>
    </w:p>
    <w:p>
      <w:pPr>
        <w:spacing w:after="0" w:line="115" w:lineRule="exact"/>
        <w:rPr>
          <w:rFonts w:ascii="Arial" w:cs="Arial" w:eastAsia="Arial" w:hAnsi="Arial"/>
          <w:sz w:val="18"/>
          <w:szCs w:val="18"/>
          <w:color w:val="auto"/>
        </w:rPr>
      </w:pPr>
    </w:p>
    <w:p>
      <w:pPr>
        <w:ind w:right="180" w:firstLine="989"/>
        <w:spacing w:after="0" w:line="280"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WELLS FARGO BANK, N.A.</w:t>
      </w:r>
      <w:r>
        <w:rPr>
          <w:rFonts w:ascii="Arial" w:cs="Arial" w:eastAsia="Arial" w:hAnsi="Arial"/>
          <w:sz w:val="18"/>
          <w:szCs w:val="18"/>
          <w:color w:val="auto"/>
        </w:rPr>
        <w:t>, as the Account Bank (as defined herein), the Backup Servicer (as defined herein) and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Custodian (as defined herein); and</w:t>
      </w:r>
    </w:p>
    <w:p>
      <w:pPr>
        <w:spacing w:after="0" w:line="54" w:lineRule="exact"/>
        <w:rPr>
          <w:rFonts w:ascii="Arial" w:cs="Arial" w:eastAsia="Arial" w:hAnsi="Arial"/>
          <w:sz w:val="18"/>
          <w:szCs w:val="18"/>
          <w:color w:val="auto"/>
        </w:rPr>
      </w:pPr>
    </w:p>
    <w:p>
      <w:pPr>
        <w:ind w:left="1240" w:hanging="251"/>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 as Administrative Agent (as defined herein).</w:t>
      </w:r>
    </w:p>
    <w:p>
      <w:pPr>
        <w:spacing w:after="0" w:line="227" w:lineRule="exact"/>
        <w:rPr>
          <w:sz w:val="20"/>
          <w:szCs w:val="20"/>
          <w:color w:val="auto"/>
        </w:rPr>
      </w:pPr>
    </w:p>
    <w:p>
      <w:pPr>
        <w:ind w:right="220" w:firstLine="987"/>
        <w:spacing w:after="0" w:line="305" w:lineRule="auto"/>
        <w:rPr>
          <w:sz w:val="20"/>
          <w:szCs w:val="20"/>
          <w:color w:val="auto"/>
        </w:rPr>
      </w:pPr>
      <w:r>
        <w:rPr>
          <w:rFonts w:ascii="Arial" w:cs="Arial" w:eastAsia="Arial" w:hAnsi="Arial"/>
          <w:sz w:val="17"/>
          <w:szCs w:val="17"/>
          <w:color w:val="auto"/>
        </w:rPr>
        <w:t>The Lenders have agreed, on the terms and conditions set forth herein, to provide a secured revolving credit facility which shall provide for Advances under the Revolving Notes from time to time in the amounts and in accordance with the terms set forth herein.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Accordingly, the parties agree as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(a) Certain capitalized terms used throughout this Agreement are defined above or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01" w:lineRule="exact"/>
        <w:rPr>
          <w:sz w:val="20"/>
          <w:szCs w:val="20"/>
          <w:color w:val="auto"/>
        </w:rPr>
      </w:pPr>
    </w:p>
    <w:p>
      <w:pPr>
        <w:ind w:firstLine="989"/>
        <w:spacing w:after="0" w:line="262"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used in this Agreement and the exhibits and schedules thereto (each of which is hereby incorporated herein and made a part hereof), the following terms shall have the following meanings (such meanings to be equally applicable to both the singular and plural forms of the terms defined):</w:t>
      </w:r>
    </w:p>
    <w:p>
      <w:pPr>
        <w:sectPr>
          <w:pgSz w:w="11900" w:h="16838" w:orient="portrait"/>
          <w:cols w:equalWidth="0" w:num="1">
            <w:col w:w="10940"/>
          </w:cols>
          <w:pgMar w:left="460" w:top="269" w:right="499" w:bottom="1440" w:gutter="0" w:footer="0" w:header="0"/>
        </w:sectPr>
      </w:pPr>
    </w:p>
    <w:bookmarkStart w:id="64" w:name="page65"/>
    <w:bookmarkEnd w:id="64"/>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1940 Act</w:t>
      </w:r>
      <w:r>
        <w:rPr>
          <w:rFonts w:ascii="Arial" w:cs="Arial" w:eastAsia="Arial" w:hAnsi="Arial"/>
          <w:sz w:val="17"/>
          <w:szCs w:val="17"/>
          <w:color w:val="auto"/>
        </w:rPr>
        <w:t>” means the Investment Company Act of 1940, as amended, and the rules and regulations promulgated thereunder.</w:t>
      </w:r>
    </w:p>
    <w:p>
      <w:pPr>
        <w:spacing w:after="0" w:line="234" w:lineRule="exact"/>
        <w:rPr>
          <w:sz w:val="20"/>
          <w:szCs w:val="20"/>
          <w:color w:val="auto"/>
        </w:rPr>
      </w:pPr>
    </w:p>
    <w:p>
      <w:pPr>
        <w:ind w:right="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Bank</w:t>
      </w:r>
      <w:r>
        <w:rPr>
          <w:rFonts w:ascii="Arial" w:cs="Arial" w:eastAsia="Arial" w:hAnsi="Arial"/>
          <w:sz w:val="18"/>
          <w:szCs w:val="18"/>
          <w:color w:val="auto"/>
        </w:rPr>
        <w:t>” means Wells Fargo Bank, N.A., in its capacity as the “Account Bank” pursuant to the Collection Account Agreement and the URCA Account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means, with respect to each Liquidity Bank and Institutional Lender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(with the consent of the Administrative Agent, such consent not to be unreasonably withheld) as providing an “Additional Commitment”, (i) prior to the Additional Commitment Trigger Date, $0, (ii) on and following the Additional Commitment Trigger Date and prior to the end of the Revolving Period, the Dollar amount set forth opposite such Liquidity Bank’s or Institutional Lender’s name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(as such amount may be revised from time to time in accordance with the terms hereof) as an “Additional Commitment” or the amount set forth as such Liquidity Bank’s or Institutional Lender’s “Additional Commitment” on Schedule I to the Joinder Supplement relating to such Liquidity Bank or Institutional Lender, as applicable as an “Additional Commitment”, and (iii) after the Revolving Period, such Liquidity Bank’s or Institutional Lenders’ Pro Rata Share of the aggregate Advances Outstanding.</w:t>
      </w:r>
    </w:p>
    <w:p>
      <w:pPr>
        <w:spacing w:after="0" w:line="189" w:lineRule="exact"/>
        <w:rPr>
          <w:sz w:val="20"/>
          <w:szCs w:val="20"/>
          <w:color w:val="auto"/>
        </w:rPr>
      </w:pPr>
    </w:p>
    <w:p>
      <w:pPr>
        <w:ind w:right="28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Additional Commitment Trigger Date</w:t>
      </w:r>
      <w:r>
        <w:rPr>
          <w:rFonts w:ascii="Arial" w:cs="Arial" w:eastAsia="Arial" w:hAnsi="Arial"/>
          <w:sz w:val="17"/>
          <w:szCs w:val="17"/>
          <w:color w:val="auto"/>
        </w:rPr>
        <w:t>” means a date, if any, during the Revolving Period that is declared by the Borrower in a written notice to the Administrative Agent and the Lender Agents to constitute the “Additional Commitment Trigger Date” hereunder.</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Terms Addendum</w:t>
      </w:r>
      <w:r>
        <w:rPr>
          <w:rFonts w:ascii="Arial" w:cs="Arial" w:eastAsia="Arial" w:hAnsi="Arial"/>
          <w:sz w:val="18"/>
          <w:szCs w:val="18"/>
          <w:color w:val="auto"/>
        </w:rPr>
        <w:t xml:space="preserve">” means the Additional Terms Addendum attached hereto as </w:t>
      </w:r>
      <w:r>
        <w:rPr>
          <w:rFonts w:ascii="Arial" w:cs="Arial" w:eastAsia="Arial" w:hAnsi="Arial"/>
          <w:sz w:val="18"/>
          <w:szCs w:val="18"/>
          <w:u w:val="single" w:color="auto"/>
          <w:color w:val="auto"/>
        </w:rPr>
        <w:t>Exhibit U</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Pro Rata Share</w:t>
      </w:r>
      <w:r>
        <w:rPr>
          <w:rFonts w:ascii="Arial" w:cs="Arial" w:eastAsia="Arial" w:hAnsi="Arial"/>
          <w:sz w:val="16"/>
          <w:szCs w:val="16"/>
          <w:color w:val="auto"/>
        </w:rPr>
        <w:t>” means, (i) with respect to each Liquidity Bank and each Institutional Lender that is a Non-Defaulting Lender,</w:t>
      </w:r>
    </w:p>
    <w:p>
      <w:pPr>
        <w:spacing w:after="0" w:line="46" w:lineRule="exact"/>
        <w:rPr>
          <w:sz w:val="20"/>
          <w:szCs w:val="20"/>
          <w:color w:val="auto"/>
        </w:rPr>
      </w:pPr>
    </w:p>
    <w:p>
      <w:pPr>
        <w:ind w:right="80" w:firstLine="2"/>
        <w:spacing w:after="0" w:line="251" w:lineRule="auto"/>
        <w:tabs>
          <w:tab w:leader="none" w:pos="2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the determination of Advances, the Pro Rata Share with respect to each Liquidity Bank and each Institutional Lender determined when assessing a value of zero to the “Undrawn Amount” of all Defaulting Lenders in the calculation thereunder, and (y) with respect to the allocation of Collections on any Payment Date or otherwise in connection with any distribution hereunder, the Pro Rata Share with respect to each Liquidity Bank and each Institutional Lender determined when assessing a value of zero to the “Advances Outstanding” of all Defaulting Lenders in the calculation thereunder, and (ii) with respect to each Defaulting Lender, 0%.</w:t>
      </w:r>
    </w:p>
    <w:p>
      <w:pPr>
        <w:spacing w:after="0" w:line="193" w:lineRule="exact"/>
        <w:rPr>
          <w:sz w:val="20"/>
          <w:szCs w:val="20"/>
          <w:color w:val="auto"/>
        </w:rPr>
      </w:pPr>
    </w:p>
    <w:p>
      <w:pPr>
        <w:ind w:right="3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means Citibank, N.A., in its capacity as administrative agent for the Lenders, together with its successors and assigns, including any successor appointed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xml:space="preserve">” means each loan advanced by the Lenders to the Borrower on an Advance Date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 Date</w:t>
      </w:r>
      <w:r>
        <w:rPr>
          <w:rFonts w:ascii="Arial" w:cs="Arial" w:eastAsia="Arial" w:hAnsi="Arial"/>
          <w:sz w:val="18"/>
          <w:szCs w:val="18"/>
          <w:color w:val="auto"/>
        </w:rPr>
        <w:t>” means, with respect to any Advance, the date on which such Advance is made.</w:t>
      </w:r>
    </w:p>
    <w:p>
      <w:pPr>
        <w:spacing w:after="0" w:line="15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60" w:top="273" w:right="499" w:bottom="1440" w:gutter="0" w:footer="0" w:header="0"/>
        </w:sectPr>
      </w:pPr>
    </w:p>
    <w:bookmarkStart w:id="65" w:name="page66"/>
    <w:bookmarkEnd w:id="65"/>
    <w:p>
      <w:pPr>
        <w:ind w:firstLine="987"/>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Advance Date Assigned Value</w:t>
      </w:r>
      <w:r>
        <w:rPr>
          <w:rFonts w:ascii="Arial" w:cs="Arial" w:eastAsia="Arial" w:hAnsi="Arial"/>
          <w:sz w:val="18"/>
          <w:szCs w:val="18"/>
          <w:color w:val="auto"/>
        </w:rPr>
        <w:t xml:space="preserve">” means, with respect to any Loan Asset, the value (expressed as a percentage of the Outstanding Principal Balance of such Loan Asset) equal to the value initially set forth on </w:t>
      </w:r>
      <w:r>
        <w:rPr>
          <w:rFonts w:ascii="Arial" w:cs="Arial" w:eastAsia="Arial" w:hAnsi="Arial"/>
          <w:sz w:val="18"/>
          <w:szCs w:val="18"/>
          <w:u w:val="single" w:color="auto"/>
          <w:color w:val="auto"/>
        </w:rPr>
        <w:t>Schedule V</w:t>
      </w:r>
      <w:r>
        <w:rPr>
          <w:rFonts w:ascii="Arial" w:cs="Arial" w:eastAsia="Arial" w:hAnsi="Arial"/>
          <w:sz w:val="18"/>
          <w:szCs w:val="18"/>
          <w:color w:val="auto"/>
        </w:rPr>
        <w:t xml:space="preserve"> hereto as of the Closing Date or, with respect to Loan Assets included after the Closing Date, the value determined by the Servicer as of the Cut-Off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the Advance Date Assigned Value exceed 100%,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any Loan Asset that is determined to have an Advance Date Assigned Value equal to or greater than 95% shall be deemed to have an Assigned Value equal to 100%.</w:t>
      </w:r>
    </w:p>
    <w:p>
      <w:pPr>
        <w:spacing w:after="0" w:line="190" w:lineRule="exact"/>
        <w:rPr>
          <w:sz w:val="20"/>
          <w:szCs w:val="20"/>
          <w:color w:val="auto"/>
        </w:rPr>
      </w:pPr>
    </w:p>
    <w:p>
      <w:pPr>
        <w:ind w:right="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 Outstanding</w:t>
      </w:r>
      <w:r>
        <w:rPr>
          <w:rFonts w:ascii="Arial" w:cs="Arial" w:eastAsia="Arial" w:hAnsi="Arial"/>
          <w:sz w:val="18"/>
          <w:szCs w:val="18"/>
          <w:color w:val="auto"/>
        </w:rPr>
        <w:t xml:space="preserve">” means, at any date of determination (and, when applicable, utilizing Dollar Equivalents), the sum of the outstanding principal amounts of Advances loaned to the Borrower for the initial and any subsequent borrowings pursuant to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as of such time.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Party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when used with respect to a Person, means any other Person controlling, controlled by or under common control with such Person. For the purposes of this definition, “control</w:t>
      </w:r>
      <w:r>
        <w:rPr>
          <w:rFonts w:ascii="Arial" w:cs="Arial" w:eastAsia="Arial" w:hAnsi="Arial"/>
          <w:sz w:val="16"/>
          <w:szCs w:val="16"/>
          <w:u w:val="single" w:color="auto"/>
          <w:color w:val="auto"/>
        </w:rPr>
        <w:t>,</w:t>
      </w:r>
      <w:r>
        <w:rPr>
          <w:rFonts w:ascii="Arial" w:cs="Arial" w:eastAsia="Arial" w:hAnsi="Arial"/>
          <w:sz w:val="16"/>
          <w:szCs w:val="16"/>
          <w:color w:val="auto"/>
        </w:rPr>
        <w:t xml:space="preserve">” when used with respect to any specified Person, means the power to vote 10% or more of the voting securities of such Person or to direct the management and policies of such Person, directly or indirectly, whether through the ownership of voting securities, by contract or otherwise; and the terms “controlling” and “controlled” have meanings correlative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determining whether any Loan Asset is an Eligible Loan Asset or for purposes of </w:t>
      </w:r>
      <w:r>
        <w:rPr>
          <w:rFonts w:ascii="Arial" w:cs="Arial" w:eastAsia="Arial" w:hAnsi="Arial"/>
          <w:sz w:val="16"/>
          <w:szCs w:val="16"/>
          <w:u w:val="single" w:color="auto"/>
          <w:color w:val="auto"/>
        </w:rPr>
        <w:t>Section 5.01(b)(xix)</w:t>
      </w:r>
      <w:r>
        <w:rPr>
          <w:rFonts w:ascii="Arial" w:cs="Arial" w:eastAsia="Arial" w:hAnsi="Arial"/>
          <w:sz w:val="16"/>
          <w:szCs w:val="16"/>
          <w:color w:val="auto"/>
        </w:rPr>
        <w:t>, the term Affiliate shall not include any Affiliate relationship which may exist solely as a result of direct or indirect ownership of, or control by, a common Financial Sponsor.</w:t>
      </w:r>
    </w:p>
    <w:p>
      <w:pPr>
        <w:spacing w:after="0" w:line="162" w:lineRule="exact"/>
        <w:rPr>
          <w:sz w:val="20"/>
          <w:szCs w:val="20"/>
          <w:color w:val="auto"/>
        </w:rPr>
      </w:pPr>
    </w:p>
    <w:p>
      <w:pPr>
        <w:ind w:right="28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Agent Fee Letter</w:t>
      </w:r>
      <w:r>
        <w:rPr>
          <w:rFonts w:ascii="Arial" w:cs="Arial" w:eastAsia="Arial" w:hAnsi="Arial"/>
          <w:sz w:val="16"/>
          <w:szCs w:val="16"/>
          <w:color w:val="auto"/>
        </w:rPr>
        <w:t>” means the Fee Letter, dated as of August 26, 2011, between Citibank, in its capacities as Administrative Agent and Collateral Agent and the Borrower, as such letter may be amended, modified, supplemented, restated or replaced from time to time.</w:t>
      </w:r>
    </w:p>
    <w:p>
      <w:pPr>
        <w:spacing w:after="0" w:line="125" w:lineRule="exact"/>
        <w:rPr>
          <w:sz w:val="20"/>
          <w:szCs w:val="20"/>
          <w:color w:val="auto"/>
        </w:rPr>
      </w:pPr>
    </w:p>
    <w:p>
      <w:pPr>
        <w:ind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Agented Note</w:t>
      </w:r>
      <w:r>
        <w:rPr>
          <w:rFonts w:ascii="Arial" w:cs="Arial" w:eastAsia="Arial" w:hAnsi="Arial"/>
          <w:sz w:val="17"/>
          <w:szCs w:val="17"/>
          <w:color w:val="auto"/>
        </w:rPr>
        <w:t>” means any Loan Asset (i) originated as a part of a syndicated loan transaction that has been closed (without regard to any contemporaneous or subsequent syndication of such Loan Asset) prior to such Loan Asset becoming part of the Collateral Portfolio and (ii) with respect to which, upon an assignment of the note under the Contribution Agreement to the Borrower, the Borrower, as assignee of the note, will have all of the rights but none of the obligations of the Transferor with respect to such note and the Underlying Collateral.</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Outstanding Loan Balance</w:t>
      </w:r>
      <w:r>
        <w:rPr>
          <w:rFonts w:ascii="Arial" w:cs="Arial" w:eastAsia="Arial" w:hAnsi="Arial"/>
          <w:sz w:val="17"/>
          <w:szCs w:val="17"/>
          <w:color w:val="auto"/>
        </w:rPr>
        <w:t>” or “</w:t>
      </w:r>
      <w:r>
        <w:rPr>
          <w:rFonts w:ascii="Arial" w:cs="Arial" w:eastAsia="Arial" w:hAnsi="Arial"/>
          <w:sz w:val="17"/>
          <w:szCs w:val="17"/>
          <w:u w:val="single" w:color="auto"/>
          <w:color w:val="auto"/>
        </w:rPr>
        <w:t>AOLB</w:t>
      </w:r>
      <w:r>
        <w:rPr>
          <w:rFonts w:ascii="Arial" w:cs="Arial" w:eastAsia="Arial" w:hAnsi="Arial"/>
          <w:sz w:val="17"/>
          <w:szCs w:val="17"/>
          <w:color w:val="auto"/>
        </w:rPr>
        <w:t>” means the aggregate Outstanding Loan Balances of all Eligible Loan Assets.</w:t>
      </w:r>
    </w:p>
    <w:p>
      <w:pPr>
        <w:spacing w:after="0" w:line="234" w:lineRule="exact"/>
        <w:rPr>
          <w:sz w:val="20"/>
          <w:szCs w:val="20"/>
          <w:color w:val="auto"/>
        </w:rPr>
      </w:pPr>
    </w:p>
    <w:p>
      <w:pPr>
        <w:jc w:val="center"/>
        <w:ind w:left="480" w:right="960"/>
        <w:spacing w:after="0" w:line="44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Outstanding Principal Balance</w:t>
      </w:r>
      <w:r>
        <w:rPr>
          <w:rFonts w:ascii="Arial" w:cs="Arial" w:eastAsia="Arial" w:hAnsi="Arial"/>
          <w:sz w:val="18"/>
          <w:szCs w:val="18"/>
          <w:color w:val="auto"/>
        </w:rPr>
        <w:t>” means the aggregate Outstanding Principal Balances of all Eligible Loan Assets. -3-</w:t>
      </w:r>
    </w:p>
    <w:p>
      <w:pPr>
        <w:sectPr>
          <w:pgSz w:w="11900" w:h="16838" w:orient="portrait"/>
          <w:cols w:equalWidth="0" w:num="1">
            <w:col w:w="10900"/>
          </w:cols>
          <w:pgMar w:left="460" w:top="273" w:right="539" w:bottom="1440" w:gutter="0" w:footer="0" w:header="0"/>
        </w:sectPr>
      </w:pPr>
    </w:p>
    <w:bookmarkStart w:id="66" w:name="page67"/>
    <w:bookmarkEnd w:id="66"/>
    <w:p>
      <w:pPr>
        <w:ind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Aggregate Total Commitments</w:t>
      </w:r>
      <w:r>
        <w:rPr>
          <w:rFonts w:ascii="Arial" w:cs="Arial" w:eastAsia="Arial" w:hAnsi="Arial"/>
          <w:sz w:val="18"/>
          <w:szCs w:val="18"/>
          <w:color w:val="auto"/>
        </w:rPr>
        <w:t>” for all Liquidity Banks and Institutional Lenders as of any date of determination, means the aggregate of the Total Commitments of all Liquidity Banks and Institutional Lenders as of such date.</w:t>
      </w:r>
    </w:p>
    <w:p>
      <w:pPr>
        <w:spacing w:after="0" w:line="171" w:lineRule="exact"/>
        <w:rPr>
          <w:sz w:val="20"/>
          <w:szCs w:val="20"/>
          <w:color w:val="auto"/>
        </w:rPr>
      </w:pPr>
    </w:p>
    <w:p>
      <w:pPr>
        <w:ind w:right="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Loan and Servicing Agreement, as amended through the Sixth Amendment, dated as of June 1, 2018, and as the same may be further amended, restated, supplemented or otherwise modified from time to time hereafter.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Amortization Advances Outstanding</w:t>
      </w:r>
      <w:r>
        <w:rPr>
          <w:rFonts w:ascii="Arial" w:cs="Arial" w:eastAsia="Arial" w:hAnsi="Arial"/>
          <w:sz w:val="17"/>
          <w:szCs w:val="17"/>
          <w:color w:val="auto"/>
        </w:rPr>
        <w:t>” means the Advances Outstanding as of the Scheduled Commitment Termination Date.</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Amortization Period</w:t>
      </w:r>
      <w:r>
        <w:rPr>
          <w:rFonts w:ascii="Arial" w:cs="Arial" w:eastAsia="Arial" w:hAnsi="Arial"/>
          <w:sz w:val="17"/>
          <w:szCs w:val="17"/>
          <w:color w:val="auto"/>
        </w:rPr>
        <w:t>” means the date commencing on the Commitment Termination Date and ending on the Final Maturity Date.</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Amortization Principal Reduction Amount</w:t>
      </w:r>
      <w:r>
        <w:rPr>
          <w:rFonts w:ascii="Arial" w:cs="Arial" w:eastAsia="Arial" w:hAnsi="Arial"/>
          <w:sz w:val="18"/>
          <w:szCs w:val="18"/>
          <w:color w:val="auto"/>
        </w:rPr>
        <w:t>” means, with respect to:</w:t>
      </w:r>
    </w:p>
    <w:p>
      <w:pPr>
        <w:spacing w:after="0" w:line="115" w:lineRule="exact"/>
        <w:rPr>
          <w:sz w:val="20"/>
          <w:szCs w:val="20"/>
          <w:color w:val="auto"/>
        </w:rPr>
      </w:pPr>
    </w:p>
    <w:p>
      <w:pPr>
        <w:ind w:left="980" w:right="60" w:firstLine="408"/>
        <w:spacing w:after="0" w:line="275" w:lineRule="auto"/>
        <w:tabs>
          <w:tab w:leader="none" w:pos="159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12th Payment Date after the Scheduled Commitment Termination Date, the positive difference, if any, equal to (x) 15.00% of the Amortization Advances Outstanding;</w:t>
      </w:r>
    </w:p>
    <w:p>
      <w:pPr>
        <w:spacing w:after="0" w:line="63" w:lineRule="exact"/>
        <w:rPr>
          <w:rFonts w:ascii="Arial" w:cs="Arial" w:eastAsia="Arial" w:hAnsi="Arial"/>
          <w:sz w:val="18"/>
          <w:szCs w:val="18"/>
          <w:color w:val="auto"/>
        </w:rPr>
      </w:pPr>
    </w:p>
    <w:p>
      <w:pPr>
        <w:ind w:left="980" w:right="20" w:firstLine="408"/>
        <w:spacing w:after="0" w:line="275" w:lineRule="auto"/>
        <w:tabs>
          <w:tab w:leader="none" w:pos="16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24th Payment Date after the Scheduled Commitment Termination Date, the positive difference, if any, equal to (x) 40.00% of the Amortization Advances Outstanding; and</w:t>
      </w:r>
    </w:p>
    <w:p>
      <w:pPr>
        <w:spacing w:after="0" w:line="63" w:lineRule="exact"/>
        <w:rPr>
          <w:rFonts w:ascii="Arial" w:cs="Arial" w:eastAsia="Arial" w:hAnsi="Arial"/>
          <w:sz w:val="18"/>
          <w:szCs w:val="18"/>
          <w:color w:val="auto"/>
        </w:rPr>
      </w:pPr>
    </w:p>
    <w:p>
      <w:pPr>
        <w:ind w:left="1700" w:hanging="312"/>
        <w:spacing w:after="0"/>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Scheduled Maturity Date, an amount equal to 100% of the Amortization Advances Outstanding;</w:t>
      </w:r>
    </w:p>
    <w:p>
      <w:pPr>
        <w:spacing w:after="0" w:line="223"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 xml:space="preserve">in each case (with respect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sum of (x) the aggregate amount of prepayments of principal of the Advances Outstanding made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2.06(a)</w:t>
      </w:r>
      <w:r>
        <w:rPr>
          <w:rFonts w:ascii="Arial" w:cs="Arial" w:eastAsia="Arial" w:hAnsi="Arial"/>
          <w:sz w:val="16"/>
          <w:szCs w:val="16"/>
          <w:color w:val="auto"/>
        </w:rPr>
        <w:t xml:space="preserve"> during the Amortization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(and without duplication) (y) any previous payments of Advances Outstanding pursuant to clause </w:t>
      </w:r>
      <w:r>
        <w:rPr>
          <w:rFonts w:ascii="Arial" w:cs="Arial" w:eastAsia="Arial" w:hAnsi="Arial"/>
          <w:sz w:val="16"/>
          <w:szCs w:val="16"/>
          <w:i w:val="1"/>
          <w:iCs w:val="1"/>
          <w:color w:val="auto"/>
        </w:rPr>
        <w:t>sixth</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made on any prior Payment Date during the Amortization Period.</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4.01(qq)(ii)</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for any Person all existing and future laws, rules, regulations (including temporary and final income tax regulations), statutes, treaties, codes, ordinances, permits, certificates, orders, licenses of and interpretations by any Governmental Authority applicable to such Person (including, without limitation, predatory lending laws, usury laws, the Federal Truth-in-Lending Act, the Equal Credit Opportunity Act, the Fair Credit Billing Act, the Fair Credit Reporting Act, the Fair Debt Collection Practices Act, the Federal Trade Commission Act, the Magnuson-Moss Warranty Act, the Federal Reserve Board’s Regulations “B” and “Z”, the Servicemembers Civil Relief Act of 2003 and state adaptations of the National Consumer Act and of the Uniform Consumer Credit Code and all other consumer credit laws and equal credit opportunity and disclosure laws) and applicable judgments, decrees, injunctions, writs, awards or orders of any court, arbitrator or other administrative, judicial, or quasi-judicial tribunal or agency of competent jurisdiction.</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60" w:top="273" w:right="539" w:bottom="1440" w:gutter="0" w:footer="0" w:header="0"/>
        </w:sectPr>
      </w:pPr>
    </w:p>
    <w:bookmarkStart w:id="67" w:name="page68"/>
    <w:bookmarkEnd w:id="6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Applicable Spread</w:t>
      </w:r>
      <w:r>
        <w:rPr>
          <w:rFonts w:ascii="Arial" w:cs="Arial" w:eastAsia="Arial" w:hAnsi="Arial"/>
          <w:sz w:val="18"/>
          <w:szCs w:val="18"/>
          <w:color w:val="auto"/>
        </w:rPr>
        <w:t>” means the applicable percentages set forth in the Additional Terms Addendum.</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Reference Rate</w:t>
      </w:r>
      <w:r>
        <w:rPr>
          <w:rFonts w:ascii="Arial" w:cs="Arial" w:eastAsia="Arial" w:hAnsi="Arial"/>
          <w:sz w:val="17"/>
          <w:szCs w:val="17"/>
          <w:color w:val="auto"/>
        </w:rPr>
        <w:t>” means, collectively or individually, Daily LIBOR, Fixed LIBOR, CDOR Rate, SONIA or the EURIBOR</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8" w:lineRule="exact"/>
        <w:rPr>
          <w:sz w:val="20"/>
          <w:szCs w:val="20"/>
          <w:color w:val="auto"/>
        </w:rPr>
      </w:pPr>
    </w:p>
    <w:p>
      <w:pPr>
        <w:ind w:right="2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w:t>
      </w:r>
      <w:r>
        <w:rPr>
          <w:rFonts w:ascii="Arial" w:cs="Arial" w:eastAsia="Arial" w:hAnsi="Arial"/>
          <w:sz w:val="18"/>
          <w:szCs w:val="18"/>
          <w:color w:val="auto"/>
        </w:rPr>
        <w:t>” means, with respect to any Asset Based Loan, the appraised value of the underlying collateral securing such Loan as determined by a Nationally Recognized Valuation Firm.</w:t>
      </w:r>
    </w:p>
    <w:p>
      <w:pPr>
        <w:spacing w:after="0" w:line="171" w:lineRule="exact"/>
        <w:rPr>
          <w:sz w:val="20"/>
          <w:szCs w:val="20"/>
          <w:color w:val="auto"/>
        </w:rPr>
      </w:pPr>
    </w:p>
    <w:p>
      <w:pPr>
        <w:ind w:right="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Based Loan</w:t>
      </w:r>
      <w:r>
        <w:rPr>
          <w:rFonts w:ascii="Arial" w:cs="Arial" w:eastAsia="Arial" w:hAnsi="Arial"/>
          <w:sz w:val="18"/>
          <w:szCs w:val="18"/>
          <w:color w:val="auto"/>
        </w:rPr>
        <w:t>” means any Loan Asset where (i) the underwriting of such Loan Asset was based primarily on the appraised value of the assets securing such Loan Asset (and such appraised value shall be updated no less than annually) and (ii) advances with respect to such Loan Asset are governed by a borrowing base relating to certain assets securing such Loan Asset.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Documents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223" w:lineRule="exact"/>
        <w:rPr>
          <w:sz w:val="20"/>
          <w:szCs w:val="20"/>
          <w:color w:val="auto"/>
        </w:rPr>
      </w:pPr>
    </w:p>
    <w:p>
      <w:pPr>
        <w:ind w:right="100" w:firstLine="98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Assigned Value</w:t>
      </w:r>
      <w:r>
        <w:rPr>
          <w:rFonts w:ascii="Arial" w:cs="Arial" w:eastAsia="Arial" w:hAnsi="Arial"/>
          <w:sz w:val="18"/>
          <w:szCs w:val="18"/>
          <w:color w:val="auto"/>
        </w:rPr>
        <w:t xml:space="preserve">” means, with respect to each Loan Asset, as of any date of determination and expressed as a percentage of the Outstanding Principal Balance of such Loan Asset, (A) prior to the occurrence of a Value Adjustment Event (and the determination of a Value Adjusted Assigned Value), either: (i) prior to the determination of any Updated Assigned Value, the Advance Date Assigned Value, or (ii) the most recently determined Updated Assigned Value, and (B) following the occurrence of a Value Adjustment Event (and the determination of a Value Adjusted Assigned Value), the most recently determined Value Adjusted Assigned Value, of such Loan Asset;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any Assigned Value exceed 100%,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any Assigned Value determined to be equal to or greater than 95% shall be deemed to have an Assigned Value equal to 100%.</w:t>
      </w:r>
    </w:p>
    <w:p>
      <w:pPr>
        <w:spacing w:after="0" w:line="193"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Collections</w:t>
      </w:r>
      <w:r>
        <w:rPr>
          <w:rFonts w:ascii="Arial" w:cs="Arial" w:eastAsia="Arial" w:hAnsi="Arial"/>
          <w:sz w:val="18"/>
          <w:szCs w:val="18"/>
          <w:color w:val="auto"/>
        </w:rPr>
        <w:t>” means all cash collections and other cash proceeds with respect to any Loan Asset deposited in the Collection Account, including, without limitation, all Principal Collections, all Interest Collections, all proceeds of any sale or disposition with respect to such Loan Asset, cash proceeds or other funds received by the Borrower or the Servicer with respect to any Underlying Collateral (including from any guarantors), all other amounts on deposit in the Collection Account from time to time, and all proceeds of Permitted Investments with respect to the Collection Account.</w:t>
      </w:r>
    </w:p>
    <w:p>
      <w:pPr>
        <w:spacing w:after="0" w:line="190" w:lineRule="exact"/>
        <w:rPr>
          <w:sz w:val="20"/>
          <w:szCs w:val="20"/>
          <w:color w:val="auto"/>
        </w:rPr>
      </w:pPr>
    </w:p>
    <w:p>
      <w:pPr>
        <w:ind w:right="10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Tenor</w:t>
      </w:r>
      <w:r>
        <w:rPr>
          <w:rFonts w:ascii="Arial" w:cs="Arial" w:eastAsia="Arial" w:hAnsi="Arial"/>
          <w:sz w:val="17"/>
          <w:szCs w:val="17"/>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Remittance Period pursuant to this Agreement as of such date and not including, for the avoidance of doubt, any tenor for such Benchmark that is then-removed from the definition of “Remittance Period” pursuant to clause (d) of </w:t>
      </w:r>
      <w:r>
        <w:rPr>
          <w:rFonts w:ascii="Arial" w:cs="Arial" w:eastAsia="Arial" w:hAnsi="Arial"/>
          <w:sz w:val="17"/>
          <w:szCs w:val="17"/>
          <w:u w:val="single" w:color="auto"/>
          <w:color w:val="auto"/>
        </w:rPr>
        <w:t>Section 12.24</w:t>
      </w:r>
      <w:r>
        <w:rPr>
          <w:rFonts w:ascii="Arial" w:cs="Arial" w:eastAsia="Arial" w:hAnsi="Arial"/>
          <w:sz w:val="17"/>
          <w:szCs w:val="17"/>
          <w:color w:val="auto"/>
        </w:rPr>
        <w:t>.</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as of any date of determination, means the positive difference, if any, of (i) Maximum Availability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Advances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Outstanding.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3" w:right="479" w:bottom="1440" w:gutter="0" w:footer="0" w:header="0"/>
        </w:sectPr>
      </w:pPr>
    </w:p>
    <w:bookmarkStart w:id="68" w:name="page69"/>
    <w:bookmarkEnd w:id="68"/>
    <w:p>
      <w:pPr>
        <w:ind w:right="40" w:firstLine="987"/>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with respect to any Revolving Loan Asset, the period of time during which commitments to fund the Obligor thereunder are outstanding and in full force and effect, and is prior to (A) the occurrence of any of the following with respect to such Revolving Loan Asset: (i) a Value Adjustment Event, (ii) the termination of the commitment to lend thereunder, (ii) the determination by the Servicer that the creditworthiness of the related Obligor has deteriorated such that it has reduced in a material manner the likelihood of repayment in full, and (B) the Final Maturity Date hereunder.</w:t>
      </w:r>
    </w:p>
    <w:p>
      <w:pPr>
        <w:spacing w:after="0" w:line="190" w:lineRule="exact"/>
        <w:rPr>
          <w:sz w:val="20"/>
          <w:szCs w:val="20"/>
          <w:color w:val="auto"/>
        </w:rPr>
      </w:pPr>
    </w:p>
    <w:p>
      <w:pPr>
        <w:ind w:right="180" w:firstLine="98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Life</w:t>
      </w:r>
      <w:r>
        <w:rPr>
          <w:rFonts w:ascii="Arial" w:cs="Arial" w:eastAsia="Arial" w:hAnsi="Arial"/>
          <w:sz w:val="16"/>
          <w:szCs w:val="16"/>
          <w:color w:val="auto"/>
        </w:rPr>
        <w:t xml:space="preserve">” means, for any Loan Asset, as of any date of determination, the quotient of (i) the amount of each Scheduled Payment of principal to be paid after such date of determination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number of years (rounded to the nearest hundredth) from such date of determination until such Scheduled Payment of principal is due,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(ii) the Outstanding Principal Balance of such Loan Asset.</w:t>
      </w:r>
    </w:p>
    <w:p>
      <w:pPr>
        <w:spacing w:after="0" w:line="147" w:lineRule="exact"/>
        <w:rPr>
          <w:sz w:val="20"/>
          <w:szCs w:val="20"/>
          <w:color w:val="auto"/>
        </w:rPr>
      </w:pPr>
    </w:p>
    <w:p>
      <w:pPr>
        <w:ind w:right="26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Backup Servicer</w:t>
      </w:r>
      <w:r>
        <w:rPr>
          <w:rFonts w:ascii="Arial" w:cs="Arial" w:eastAsia="Arial" w:hAnsi="Arial"/>
          <w:sz w:val="17"/>
          <w:szCs w:val="17"/>
          <w:color w:val="auto"/>
        </w:rPr>
        <w:t xml:space="preserve">” means Wells Fargo Bank, N.A., not in its individual capacity, but solely as Backup Servicer, its successor in interest pursuant to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or such Person as shall have been appointed as Backup Servicer pursuant to </w:t>
      </w:r>
      <w:r>
        <w:rPr>
          <w:rFonts w:ascii="Arial" w:cs="Arial" w:eastAsia="Arial" w:hAnsi="Arial"/>
          <w:sz w:val="17"/>
          <w:szCs w:val="17"/>
          <w:u w:val="single" w:color="auto"/>
          <w:color w:val="auto"/>
        </w:rPr>
        <w:t>Section 7.05</w:t>
      </w:r>
      <w:r>
        <w:rPr>
          <w:rFonts w:ascii="Arial" w:cs="Arial" w:eastAsia="Arial" w:hAnsi="Arial"/>
          <w:sz w:val="17"/>
          <w:szCs w:val="17"/>
          <w:color w:val="auto"/>
        </w:rPr>
        <w:t>.</w:t>
      </w:r>
    </w:p>
    <w:p>
      <w:pPr>
        <w:spacing w:after="0" w:line="148" w:lineRule="exact"/>
        <w:rPr>
          <w:sz w:val="20"/>
          <w:szCs w:val="20"/>
          <w:color w:val="auto"/>
        </w:rPr>
      </w:pPr>
    </w:p>
    <w:p>
      <w:pPr>
        <w:ind w:right="26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Backup Servicer and Collateral Custodian Fee Letter</w:t>
      </w:r>
      <w:r>
        <w:rPr>
          <w:rFonts w:ascii="Arial" w:cs="Arial" w:eastAsia="Arial" w:hAnsi="Arial"/>
          <w:sz w:val="17"/>
          <w:szCs w:val="17"/>
          <w:color w:val="auto"/>
        </w:rPr>
        <w:t>” means the Backup Servicer, Account Bank and Collateral Custodian Fee Letter, dated as of the Closing Date, by and among the Servicer, the Administrative Agent, the Backup Servicer, the Account Bank and the Collateral Custodian, as such letter may be amended, modified, supplemented, restated or replaced from time to time.</w:t>
      </w:r>
    </w:p>
    <w:p>
      <w:pPr>
        <w:spacing w:after="0" w:line="166" w:lineRule="exact"/>
        <w:rPr>
          <w:sz w:val="20"/>
          <w:szCs w:val="20"/>
          <w:color w:val="auto"/>
        </w:rPr>
      </w:pPr>
    </w:p>
    <w:p>
      <w:pPr>
        <w:ind w:right="58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Backup Servicer Succession Expenses</w:t>
      </w:r>
      <w:r>
        <w:rPr>
          <w:rFonts w:ascii="Arial" w:cs="Arial" w:eastAsia="Arial" w:hAnsi="Arial"/>
          <w:sz w:val="16"/>
          <w:szCs w:val="16"/>
          <w:color w:val="auto"/>
        </w:rPr>
        <w:t>” means fees, costs and expenses (including reasonable attorneys’ fees, costs and expenses) incurred by the Backup Servicer in connection with the succession of the Backup Servicer to the obligations of the Servicer hereunder.</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Backup Servicer Termination Notice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Backup Servicing Fee</w:t>
      </w:r>
      <w:r>
        <w:rPr>
          <w:rFonts w:ascii="Arial" w:cs="Arial" w:eastAsia="Arial" w:hAnsi="Arial"/>
          <w:sz w:val="18"/>
          <w:szCs w:val="18"/>
          <w:color w:val="auto"/>
        </w:rPr>
        <w:t>” has the meaning defined in the Backup Servicer and Collateral Custodian Fee Letter.</w:t>
      </w:r>
    </w:p>
    <w:p>
      <w:pPr>
        <w:spacing w:after="0" w:line="223" w:lineRule="exact"/>
        <w:rPr>
          <w:sz w:val="20"/>
          <w:szCs w:val="20"/>
          <w:color w:val="auto"/>
        </w:rPr>
      </w:pPr>
    </w:p>
    <w:p>
      <w:pPr>
        <w:jc w:val="both"/>
        <w:ind w:right="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1" w:lineRule="exact"/>
        <w:rPr>
          <w:sz w:val="20"/>
          <w:szCs w:val="20"/>
          <w:color w:val="auto"/>
        </w:rPr>
      </w:pPr>
    </w:p>
    <w:p>
      <w:pPr>
        <w:jc w:val="both"/>
        <w:ind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Title 11, United States Code, 11 U.S.C. §§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w:t>
      </w:r>
    </w:p>
    <w:p>
      <w:pPr>
        <w:spacing w:after="0" w:line="15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60" w:top="273" w:right="499" w:bottom="1440" w:gutter="0" w:footer="0" w:header="0"/>
        </w:sectPr>
      </w:pPr>
    </w:p>
    <w:bookmarkStart w:id="69" w:name="page70"/>
    <w:bookmarkEnd w:id="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Bankruptcy Event</w:t>
      </w:r>
      <w:r>
        <w:rPr>
          <w:rFonts w:ascii="Arial" w:cs="Arial" w:eastAsia="Arial" w:hAnsi="Arial"/>
          <w:sz w:val="18"/>
          <w:szCs w:val="18"/>
          <w:color w:val="auto"/>
        </w:rPr>
        <w:t>” shall be deemed to have occurred with respect to a Person if either:</w:t>
      </w:r>
    </w:p>
    <w:p>
      <w:pPr>
        <w:spacing w:after="0" w:line="115" w:lineRule="exact"/>
        <w:rPr>
          <w:sz w:val="20"/>
          <w:szCs w:val="20"/>
          <w:color w:val="auto"/>
        </w:rPr>
      </w:pPr>
    </w:p>
    <w:p>
      <w:pPr>
        <w:ind w:left="980" w:firstLine="408"/>
        <w:spacing w:after="0" w:line="253" w:lineRule="auto"/>
        <w:tabs>
          <w:tab w:leader="none" w:pos="15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in each case, under the Bankruptcy Laws, and such case or proceeding shall continue undismissed, or unstayed and in effect, for a period of 60 consecutive days (or 30 consecutive days with respect to the Borrower); or an order for relief in respect of such Person shall be entered in an involuntary case under the federal bankruptcy laws or other similar laws now or hereafter in effect;</w:t>
      </w:r>
    </w:p>
    <w:p>
      <w:pPr>
        <w:spacing w:after="0" w:line="85" w:lineRule="exact"/>
        <w:rPr>
          <w:rFonts w:ascii="Arial" w:cs="Arial" w:eastAsia="Arial" w:hAnsi="Arial"/>
          <w:sz w:val="18"/>
          <w:szCs w:val="18"/>
          <w:color w:val="auto"/>
        </w:rPr>
      </w:pPr>
    </w:p>
    <w:p>
      <w:pPr>
        <w:ind w:left="980" w:right="20" w:firstLine="408"/>
        <w:spacing w:after="0" w:line="274" w:lineRule="auto"/>
        <w:tabs>
          <w:tab w:leader="none" w:pos="16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such Person shall commence a voluntary case or other proceeding under any Bankruptcy Laws now or hereafter in effect, or shall consent to the appointment of or taking possession by a receiver, liquidator, assignee, trustee, custodian, sequestrator (or other similar official) for such Person or all or substantially all of its assets under the Bankruptcy Laws, or shall make any general assignment for the benefit of creditors, or shall fail to, or admit in writing its inability to, pay its debts generally as they become due, or, if a corporation or similar entity, its board of directors or members shall vote to implement any of the foregoing; or</w:t>
      </w:r>
    </w:p>
    <w:p>
      <w:pPr>
        <w:spacing w:after="0" w:line="66" w:lineRule="exact"/>
        <w:rPr>
          <w:rFonts w:ascii="Arial" w:cs="Arial" w:eastAsia="Arial" w:hAnsi="Arial"/>
          <w:sz w:val="17"/>
          <w:szCs w:val="17"/>
          <w:color w:val="auto"/>
        </w:rPr>
      </w:pPr>
    </w:p>
    <w:p>
      <w:pPr>
        <w:ind w:left="980" w:right="200" w:firstLine="408"/>
        <w:spacing w:after="0" w:line="339" w:lineRule="auto"/>
        <w:tabs>
          <w:tab w:leader="none" w:pos="1692" w:val="left"/>
        </w:tabs>
        <w:numPr>
          <w:ilvl w:val="0"/>
          <w:numId w:val="34"/>
        </w:numPr>
        <w:rPr>
          <w:rFonts w:ascii="Arial" w:cs="Arial" w:eastAsia="Arial" w:hAnsi="Arial"/>
          <w:sz w:val="16"/>
          <w:szCs w:val="16"/>
          <w:color w:val="auto"/>
        </w:rPr>
      </w:pPr>
      <w:r>
        <w:rPr>
          <w:rFonts w:ascii="Arial" w:cs="Arial" w:eastAsia="Arial" w:hAnsi="Arial"/>
          <w:sz w:val="16"/>
          <w:szCs w:val="16"/>
          <w:color w:val="auto"/>
        </w:rPr>
        <w:t>with respect to an insured depository institution, including a national banking association, the appointment of the Federal Deposit Insurance Corporation as a conservator or receiver of such bank pursuant to Section 11(c) of the Federal Deposit Insurance Act.</w:t>
      </w:r>
    </w:p>
    <w:p>
      <w:pPr>
        <w:spacing w:after="0" w:line="125" w:lineRule="exact"/>
        <w:rPr>
          <w:sz w:val="20"/>
          <w:szCs w:val="20"/>
          <w:color w:val="auto"/>
        </w:rPr>
      </w:pPr>
    </w:p>
    <w:p>
      <w:pPr>
        <w:ind w:right="2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Laws</w:t>
      </w:r>
      <w:r>
        <w:rPr>
          <w:rFonts w:ascii="Arial" w:cs="Arial" w:eastAsia="Arial" w:hAnsi="Arial"/>
          <w:sz w:val="18"/>
          <w:szCs w:val="18"/>
          <w:color w:val="auto"/>
        </w:rPr>
        <w:t>” means the Bankruptcy Code and all other applicable liquidation, conservatorship, bankruptcy, moratorium, rearrangement, receivership, insolvency, reorganization, suspension of payments, or similar debtor relief laws from time to time in effect affecting the rights of creditors generally.</w:t>
      </w:r>
    </w:p>
    <w:p>
      <w:pPr>
        <w:spacing w:after="0" w:line="182" w:lineRule="exact"/>
        <w:rPr>
          <w:sz w:val="20"/>
          <w:szCs w:val="20"/>
          <w:color w:val="auto"/>
        </w:rPr>
      </w:pPr>
    </w:p>
    <w:p>
      <w:pPr>
        <w:ind w:right="6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Proceeding</w:t>
      </w:r>
      <w:r>
        <w:rPr>
          <w:rFonts w:ascii="Arial" w:cs="Arial" w:eastAsia="Arial" w:hAnsi="Arial"/>
          <w:sz w:val="18"/>
          <w:szCs w:val="18"/>
          <w:color w:val="auto"/>
        </w:rPr>
        <w:t>” means any case, action or proceeding before any court or other Governmental Authority relating to any Bankruptcy Event.</w:t>
      </w:r>
    </w:p>
    <w:p>
      <w:pPr>
        <w:spacing w:after="0" w:line="171" w:lineRule="exact"/>
        <w:rPr>
          <w:sz w:val="20"/>
          <w:szCs w:val="20"/>
          <w:color w:val="auto"/>
        </w:rPr>
      </w:pPr>
    </w:p>
    <w:p>
      <w:pPr>
        <w:ind w:firstLine="98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Commitment</w:t>
      </w:r>
      <w:r>
        <w:rPr>
          <w:rFonts w:ascii="Arial" w:cs="Arial" w:eastAsia="Arial" w:hAnsi="Arial"/>
          <w:sz w:val="18"/>
          <w:szCs w:val="18"/>
          <w:color w:val="auto"/>
        </w:rPr>
        <w:t xml:space="preserve">” means, with respect to each Liquidity Bank and Institutional Lender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as providing a “Base Commitment”, (i) prior to the end of the Revolving Period, the Dollar amount set forth opposite such Liquidity Bank’s or Institutional Lender’s name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(as such amount may be revised from time to time in accordance with the terms hereof) as a “Base Commitment” or the amount set forth as such Liquidity Bank’s or Institutional Lender’s “Commitment” on Schedule I to the Joinder Supplement relating to such Liquidity Bank or Institutional Lender, as applicable as a “Base Commitment”, and (ii) on or after the Revolving Period, such Liquidity Bank’s or Institutional Lenders’ Pro Rata Share of the aggregate Advances Outstanding.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60" w:top="273" w:right="499" w:bottom="1440" w:gutter="0" w:footer="0" w:header="0"/>
        </w:sectPr>
      </w:pPr>
    </w:p>
    <w:bookmarkStart w:id="70" w:name="page71"/>
    <w:bookmarkEnd w:id="70"/>
    <w:p>
      <w:pPr>
        <w:ind w:right="28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on any date, a fluctuating per annum interest rate equal to the higher of (a) the Prime Rate or (b) the Federal Funds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0.5%;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the Base Rate equal less than 0%.</w:t>
      </w:r>
    </w:p>
    <w:p>
      <w:pPr>
        <w:spacing w:after="0" w:line="171" w:lineRule="exact"/>
        <w:rPr>
          <w:sz w:val="20"/>
          <w:szCs w:val="20"/>
          <w:color w:val="auto"/>
        </w:rPr>
      </w:pPr>
    </w:p>
    <w:p>
      <w:pPr>
        <w:jc w:val="both"/>
        <w:ind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means the consultative papers of The Basel Committee on Banking Supervision of December 2009 entitled “Strengthening the resilience of the banking sector” and “International framework for liquidity risk measurement, standards and monitoring”, in each case together with any amendments thereto.</w:t>
      </w:r>
    </w:p>
    <w:p>
      <w:pPr>
        <w:spacing w:after="0" w:line="182" w:lineRule="exact"/>
        <w:rPr>
          <w:sz w:val="20"/>
          <w:szCs w:val="20"/>
          <w:color w:val="auto"/>
        </w:rPr>
      </w:pPr>
    </w:p>
    <w:p>
      <w:pPr>
        <w:ind w:right="2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the Applicable Reference Rate; provided that if a Benchmark Transition Event or an Early Opt-in Election, as applicable, and its related Benchmark Replacement Date have occurred with respect to the Applicable Reference Rate or the then-current Benchmark, then “Benchmark” means the applicable Benchmark Replacement to the extent that such Benchmark Replacement has replaced such prior benchmark rate pursuant to clause (a) of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means, for any Available Tenor, the first alternative set forth in the order below that can be determined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for the applicable Benchmark Replacement Date:</w:t>
      </w:r>
    </w:p>
    <w:p>
      <w:pPr>
        <w:spacing w:after="0" w:line="101" w:lineRule="exact"/>
        <w:rPr>
          <w:sz w:val="20"/>
          <w:szCs w:val="20"/>
          <w:color w:val="auto"/>
        </w:rPr>
      </w:pPr>
    </w:p>
    <w:p>
      <w:pPr>
        <w:ind w:left="700" w:hanging="26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115" w:lineRule="exact"/>
        <w:rPr>
          <w:rFonts w:ascii="Arial" w:cs="Arial" w:eastAsia="Arial" w:hAnsi="Arial"/>
          <w:sz w:val="18"/>
          <w:szCs w:val="18"/>
          <w:color w:val="auto"/>
        </w:rPr>
      </w:pPr>
    </w:p>
    <w:p>
      <w:pPr>
        <w:ind w:left="700" w:hanging="260"/>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15" w:lineRule="exact"/>
        <w:rPr>
          <w:rFonts w:ascii="Arial" w:cs="Arial" w:eastAsia="Arial" w:hAnsi="Arial"/>
          <w:sz w:val="18"/>
          <w:szCs w:val="18"/>
          <w:color w:val="auto"/>
        </w:rPr>
      </w:pPr>
    </w:p>
    <w:p>
      <w:pPr>
        <w:ind w:left="440" w:right="60"/>
        <w:spacing w:after="0" w:line="270" w:lineRule="auto"/>
        <w:tabs>
          <w:tab w:leader="none" w:pos="694"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in consultation with the Servicer,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or bilateral credit facilities at such time and (b) the related Benchmark Replacement Adjustment; provided that, in the case of clause (1), such Unadjusted Benchmark Replacement is displayed on a screen or other information service that publishes such rate from time to time as selected by the Administrative Agent in its reasonable discretion.</w:t>
      </w:r>
    </w:p>
    <w:p>
      <w:pPr>
        <w:spacing w:after="0" w:line="181" w:lineRule="exact"/>
        <w:rPr>
          <w:sz w:val="20"/>
          <w:szCs w:val="20"/>
          <w:color w:val="auto"/>
        </w:rPr>
      </w:pPr>
    </w:p>
    <w:p>
      <w:pPr>
        <w:ind w:right="220" w:firstLine="438"/>
        <w:spacing w:after="0" w:line="275"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Transaction Documents.</w:t>
      </w:r>
    </w:p>
    <w:p>
      <w:pPr>
        <w:spacing w:after="0" w:line="171" w:lineRule="exact"/>
        <w:rPr>
          <w:sz w:val="20"/>
          <w:szCs w:val="20"/>
          <w:color w:val="auto"/>
        </w:rPr>
      </w:pPr>
    </w:p>
    <w:p>
      <w:pPr>
        <w:ind w:right="260" w:firstLine="43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 current Benchmark with an Unadjusted Benchmark Replacement for any applicable Remittance Period and Available Tenor for any setting of such Unadjusted Benchmark Replacement:</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60" w:top="273" w:right="479" w:bottom="1440" w:gutter="0" w:footer="0" w:header="0"/>
        </w:sectPr>
      </w:pPr>
    </w:p>
    <w:bookmarkStart w:id="71" w:name="page72"/>
    <w:bookmarkEnd w:id="71"/>
    <w:p>
      <w:pPr>
        <w:ind w:right="80" w:firstLine="440"/>
        <w:spacing w:after="0" w:line="290" w:lineRule="auto"/>
        <w:tabs>
          <w:tab w:leader="none" w:pos="692"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Remittance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Remittance Period that would apply to the fallback rate for a derivative transaction referencing the ISDA Definitions to be effective upon an index cessation event with respect to such Benchmark for the applicable Corresponding Tenor; and</w:t>
      </w:r>
    </w:p>
    <w:p>
      <w:pPr>
        <w:spacing w:after="0" w:line="56" w:lineRule="exact"/>
        <w:rPr>
          <w:rFonts w:ascii="Arial" w:cs="Arial" w:eastAsia="Arial" w:hAnsi="Arial"/>
          <w:sz w:val="16"/>
          <w:szCs w:val="16"/>
          <w:color w:val="auto"/>
        </w:rPr>
      </w:pPr>
    </w:p>
    <w:p>
      <w:pPr>
        <w:ind w:firstLine="440"/>
        <w:spacing w:after="0" w:line="269" w:lineRule="auto"/>
        <w:tabs>
          <w:tab w:leader="none" w:pos="692"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purposes of clause (3) of the definition of “Benchmark Replacement,” the spread adjustment, or method for calculating or determining such spread adjustment, (which may be a positive or negative value or zero) that has been selected by the Administrative Agent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or bilateral credit facilities; 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8" w:lineRule="exact"/>
        <w:rPr>
          <w:sz w:val="20"/>
          <w:szCs w:val="20"/>
          <w:color w:val="auto"/>
        </w:rPr>
      </w:pPr>
    </w:p>
    <w:p>
      <w:pPr>
        <w:ind w:right="80" w:firstLine="43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“Base Rate”, the definition of “Business Day,” the definition of “Remittance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consultation with the Servicer,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115" w:lineRule="exact"/>
        <w:rPr>
          <w:sz w:val="20"/>
          <w:szCs w:val="20"/>
          <w:color w:val="auto"/>
        </w:rPr>
      </w:pPr>
    </w:p>
    <w:p>
      <w:pPr>
        <w:ind w:right="20" w:firstLine="440"/>
        <w:spacing w:after="0" w:line="284" w:lineRule="auto"/>
        <w:tabs>
          <w:tab w:leader="none" w:pos="692"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3" w:right="479" w:bottom="1440" w:gutter="0" w:footer="0" w:header="0"/>
        </w:sectPr>
      </w:pPr>
    </w:p>
    <w:bookmarkStart w:id="72" w:name="page73"/>
    <w:bookmarkEnd w:id="72"/>
    <w:p>
      <w:pPr>
        <w:ind w:right="380" w:firstLine="440"/>
        <w:spacing w:after="0" w:line="275" w:lineRule="auto"/>
        <w:tabs>
          <w:tab w:leader="none" w:pos="692"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 the case of clause (3) of the definition of “Benchmark Transition Event,” the date of the public statement or publication of information referenced therein; or</w:t>
      </w:r>
    </w:p>
    <w:p>
      <w:pPr>
        <w:spacing w:after="0" w:line="63" w:lineRule="exact"/>
        <w:rPr>
          <w:rFonts w:ascii="Arial" w:cs="Arial" w:eastAsia="Arial" w:hAnsi="Arial"/>
          <w:sz w:val="18"/>
          <w:szCs w:val="18"/>
          <w:color w:val="auto"/>
        </w:rPr>
      </w:pPr>
    </w:p>
    <w:p>
      <w:pPr>
        <w:ind w:right="280" w:firstLine="440"/>
        <w:spacing w:after="0" w:line="258" w:lineRule="auto"/>
        <w:tabs>
          <w:tab w:leader="none" w:pos="6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an Early Opt-in Election, the sixth (6th) Business Day after the date notice of such Early Opt-in Election is provided to the Borrower and the Servicer, so long as the Lender has not received, by 5:00 p.m. (New York City time) on the fifth (5th) Business Day after the date notice of such Early Opt-in Election is provided to the Borrower and the Servicer, written notice of objection to such Early Opt-in Election from the Borrower (or the Servicer on its behalf).</w:t>
      </w:r>
    </w:p>
    <w:p>
      <w:pPr>
        <w:spacing w:after="0" w:line="185" w:lineRule="exact"/>
        <w:rPr>
          <w:sz w:val="20"/>
          <w:szCs w:val="20"/>
          <w:color w:val="auto"/>
        </w:rPr>
      </w:pPr>
    </w:p>
    <w:p>
      <w:pPr>
        <w:ind w:right="80" w:firstLine="438"/>
        <w:spacing w:after="0" w:line="255"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means the occurrence of one or more of the following events with respect to the then-current Benchmark:</w:t>
      </w:r>
    </w:p>
    <w:p>
      <w:pPr>
        <w:spacing w:after="0" w:line="127" w:lineRule="exact"/>
        <w:rPr>
          <w:sz w:val="20"/>
          <w:szCs w:val="20"/>
          <w:color w:val="auto"/>
        </w:rPr>
      </w:pPr>
    </w:p>
    <w:p>
      <w:pPr>
        <w:ind w:firstLine="440"/>
        <w:spacing w:after="0" w:line="258" w:lineRule="auto"/>
        <w:tabs>
          <w:tab w:leader="none" w:pos="6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7" w:lineRule="exact"/>
        <w:rPr>
          <w:rFonts w:ascii="Arial" w:cs="Arial" w:eastAsia="Arial" w:hAnsi="Arial"/>
          <w:sz w:val="18"/>
          <w:szCs w:val="18"/>
          <w:color w:val="auto"/>
        </w:rPr>
      </w:pPr>
    </w:p>
    <w:p>
      <w:pPr>
        <w:ind w:right="60" w:firstLine="440"/>
        <w:spacing w:after="0" w:line="290" w:lineRule="auto"/>
        <w:tabs>
          <w:tab w:leader="none" w:pos="69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56" w:lineRule="exact"/>
        <w:rPr>
          <w:rFonts w:ascii="Arial" w:cs="Arial" w:eastAsia="Arial" w:hAnsi="Arial"/>
          <w:sz w:val="16"/>
          <w:szCs w:val="16"/>
          <w:color w:val="auto"/>
        </w:rPr>
      </w:pPr>
    </w:p>
    <w:p>
      <w:pPr>
        <w:ind w:right="480" w:firstLine="440"/>
        <w:spacing w:after="0" w:line="262" w:lineRule="auto"/>
        <w:tabs>
          <w:tab w:leader="none" w:pos="69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60" w:top="273" w:right="559" w:bottom="1440" w:gutter="0" w:footer="0" w:header="0"/>
        </w:sectPr>
      </w:pPr>
    </w:p>
    <w:bookmarkStart w:id="73" w:name="page74"/>
    <w:bookmarkEnd w:id="73"/>
    <w:p>
      <w:pPr>
        <w:ind w:firstLine="438"/>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2" w:lineRule="exact"/>
        <w:rPr>
          <w:sz w:val="20"/>
          <w:szCs w:val="20"/>
          <w:color w:val="auto"/>
        </w:rPr>
      </w:pPr>
    </w:p>
    <w:p>
      <w:pPr>
        <w:ind w:right="160" w:firstLine="987"/>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xml:space="preserve">” means the period (if any) (x) beginning at the time that a Benchmark Replacement Date pursuant to clauses (1) or (2) of that definition has occurred if, at such time, no Benchmark Replacement has replaced the then-current Benchmark for all purposes hereunder and under any Transaction Document in accordance with </w:t>
      </w:r>
      <w:r>
        <w:rPr>
          <w:rFonts w:ascii="Arial" w:cs="Arial" w:eastAsia="Arial" w:hAnsi="Arial"/>
          <w:sz w:val="16"/>
          <w:szCs w:val="16"/>
          <w:u w:val="single" w:color="auto"/>
          <w:color w:val="auto"/>
        </w:rPr>
        <w:t>Section 12.24</w:t>
      </w:r>
      <w:r>
        <w:rPr>
          <w:rFonts w:ascii="Arial" w:cs="Arial" w:eastAsia="Arial" w:hAnsi="Arial"/>
          <w:sz w:val="16"/>
          <w:szCs w:val="16"/>
          <w:color w:val="auto"/>
        </w:rPr>
        <w:t xml:space="preserve"> and (y) ending at the time that a Benchmark Replacement has replaced the then-current Benchmark for all purposes hereunder and under any Transaction Document in accordance with </w:t>
      </w:r>
      <w:r>
        <w:rPr>
          <w:rFonts w:ascii="Arial" w:cs="Arial" w:eastAsia="Arial" w:hAnsi="Arial"/>
          <w:sz w:val="16"/>
          <w:szCs w:val="16"/>
          <w:u w:val="single" w:color="auto"/>
          <w:color w:val="auto"/>
        </w:rPr>
        <w:t>Section 12.24</w:t>
      </w:r>
      <w:r>
        <w:rPr>
          <w:rFonts w:ascii="Arial" w:cs="Arial" w:eastAsia="Arial" w:hAnsi="Arial"/>
          <w:sz w:val="16"/>
          <w:szCs w:val="16"/>
          <w:color w:val="auto"/>
        </w:rPr>
        <w:t>.</w:t>
      </w:r>
    </w:p>
    <w:p>
      <w:pPr>
        <w:spacing w:after="0" w:line="155" w:lineRule="exact"/>
        <w:rPr>
          <w:sz w:val="20"/>
          <w:szCs w:val="20"/>
          <w:color w:val="auto"/>
        </w:rPr>
      </w:pPr>
    </w:p>
    <w:p>
      <w:pPr>
        <w:ind w:right="22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that term in the preamble hereto.</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xml:space="preserve">” means, as of any date of determination, an amount (calculated under the Borrowing Base Model set forth as </w:t>
      </w:r>
      <w:r>
        <w:rPr>
          <w:rFonts w:ascii="Arial" w:cs="Arial" w:eastAsia="Arial" w:hAnsi="Arial"/>
          <w:sz w:val="16"/>
          <w:szCs w:val="16"/>
          <w:u w:val="single" w:color="auto"/>
          <w:color w:val="auto"/>
        </w:rPr>
        <w:t>Annex B</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equal to the least of:</w:t>
      </w:r>
    </w:p>
    <w:p>
      <w:pPr>
        <w:spacing w:after="0" w:line="101" w:lineRule="exact"/>
        <w:rPr>
          <w:sz w:val="20"/>
          <w:szCs w:val="20"/>
          <w:color w:val="auto"/>
        </w:rPr>
      </w:pPr>
    </w:p>
    <w:p>
      <w:pPr>
        <w:ind w:left="980" w:right="160" w:firstLine="408"/>
        <w:spacing w:after="0" w:line="284" w:lineRule="auto"/>
        <w:tabs>
          <w:tab w:leader="none" w:pos="15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sum of (A) the aggregate Outstanding Loan Balance of all Eligible Loan Assets as of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Minimum Credit Enhancement as of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(C) the Excess Concentration Amounts as of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(D) the amount on deposit in the Principal Collection Account as of such date (or with respect to Foreign Currency, its Dollar Equivalent); and</w:t>
      </w:r>
    </w:p>
    <w:p>
      <w:pPr>
        <w:spacing w:after="0" w:line="58" w:lineRule="exact"/>
        <w:rPr>
          <w:rFonts w:ascii="Arial" w:cs="Arial" w:eastAsia="Arial" w:hAnsi="Arial"/>
          <w:sz w:val="17"/>
          <w:szCs w:val="17"/>
          <w:color w:val="auto"/>
        </w:rPr>
      </w:pPr>
    </w:p>
    <w:p>
      <w:pPr>
        <w:ind w:left="1660" w:hanging="272"/>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Maximum Facility Amount;</w:t>
      </w:r>
    </w:p>
    <w:p>
      <w:pPr>
        <w:spacing w:after="0" w:line="2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Loan Asset which at any time is no longer an Eligible Loan Asset shall not be included in the calculation of “Borrowing Base”.</w:t>
      </w:r>
    </w:p>
    <w:p>
      <w:pPr>
        <w:spacing w:after="0" w:line="171" w:lineRule="exact"/>
        <w:rPr>
          <w:sz w:val="20"/>
          <w:szCs w:val="20"/>
          <w:color w:val="auto"/>
        </w:rPr>
      </w:pPr>
    </w:p>
    <w:p>
      <w:pPr>
        <w:ind w:right="80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setting forth the calculation of the Borrowing Base as of the applicable date of determination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prepared by the Servicer.</w:t>
      </w:r>
    </w:p>
    <w:p>
      <w:pPr>
        <w:spacing w:after="0" w:line="171" w:lineRule="exact"/>
        <w:rPr>
          <w:sz w:val="20"/>
          <w:szCs w:val="20"/>
          <w:color w:val="auto"/>
        </w:rPr>
      </w:pPr>
    </w:p>
    <w:p>
      <w:pPr>
        <w:jc w:val="both"/>
        <w:ind w:right="2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Cure Period</w:t>
      </w:r>
      <w:r>
        <w:rPr>
          <w:rFonts w:ascii="Arial" w:cs="Arial" w:eastAsia="Arial" w:hAnsi="Arial"/>
          <w:sz w:val="18"/>
          <w:szCs w:val="18"/>
          <w:color w:val="auto"/>
        </w:rPr>
        <w:t xml:space="preserve">” means the period of time commencing from the date of the occurrence of a Borrowing Base Deficiency (calculated without consideration of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defined term “</w:t>
      </w:r>
      <w:r>
        <w:rPr>
          <w:rFonts w:ascii="Arial" w:cs="Arial" w:eastAsia="Arial" w:hAnsi="Arial"/>
          <w:sz w:val="18"/>
          <w:szCs w:val="18"/>
          <w:u w:val="single" w:color="auto"/>
          <w:color w:val="auto"/>
        </w:rPr>
        <w:t>Minimum Credit Enhancement</w:t>
      </w:r>
      <w:r>
        <w:rPr>
          <w:rFonts w:ascii="Arial" w:cs="Arial" w:eastAsia="Arial" w:hAnsi="Arial"/>
          <w:sz w:val="18"/>
          <w:szCs w:val="18"/>
          <w:color w:val="auto"/>
        </w:rPr>
        <w:t>”) and ending on the earlier to occur of (i) 60 days following such date, and (ii) the occurrence of an Event of Default.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60" w:top="273" w:right="479" w:bottom="1440" w:gutter="0" w:footer="0" w:header="0"/>
        </w:sectPr>
      </w:pPr>
    </w:p>
    <w:bookmarkStart w:id="74" w:name="page75"/>
    <w:bookmarkEnd w:id="74"/>
    <w:p>
      <w:pPr>
        <w:ind w:right="24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means, as of any date of determination (and, when applicable, utilizing Dollar Equivalents), the extent to which the aggregate Advances Outstanding on such date exceeds the Borrowing Base.</w:t>
      </w:r>
    </w:p>
    <w:p>
      <w:pPr>
        <w:spacing w:after="0" w:line="171" w:lineRule="exact"/>
        <w:rPr>
          <w:sz w:val="20"/>
          <w:szCs w:val="20"/>
          <w:color w:val="auto"/>
        </w:rPr>
      </w:pPr>
    </w:p>
    <w:p>
      <w:pPr>
        <w:ind w:right="6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Breakage Fee</w:t>
      </w:r>
      <w:r>
        <w:rPr>
          <w:rFonts w:ascii="Arial" w:cs="Arial" w:eastAsia="Arial" w:hAnsi="Arial"/>
          <w:sz w:val="18"/>
          <w:szCs w:val="18"/>
          <w:color w:val="auto"/>
        </w:rPr>
        <w:t>” means, for Advances which are repaid (in whole or in part) on any date other than a Payment Date, the breakage costs, if any, related to such repayment, based upon the assumption that the Lender funded its loan commitment in the London Interbank Eurodollar market and using any reasonable attribution or averaging methods which the Lender deems appropriate and practical, it hereby being understood that the amount of any loss, costs or expense payable by the Borrower to any Lender as Breakage Fee shall be determined in the respective Lender Agent’s reasonable discretion and shall be conclusive absent manifest error.</w:t>
      </w:r>
    </w:p>
    <w:p>
      <w:pPr>
        <w:spacing w:after="0" w:line="190" w:lineRule="exact"/>
        <w:rPr>
          <w:sz w:val="20"/>
          <w:szCs w:val="20"/>
          <w:color w:val="auto"/>
        </w:rPr>
      </w:pPr>
    </w:p>
    <w:p>
      <w:pPr>
        <w:ind w:right="6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Broadly Syndicated Loan Asset</w:t>
      </w:r>
      <w:r>
        <w:rPr>
          <w:rFonts w:ascii="Arial" w:cs="Arial" w:eastAsia="Arial" w:hAnsi="Arial"/>
          <w:sz w:val="18"/>
          <w:szCs w:val="18"/>
          <w:color w:val="auto"/>
        </w:rPr>
        <w:t>” means a Loan Asset that (i) is a broadly syndicated commercial loan, (ii) is a First Lien Loan Asset or a Second Lien Loan Asset, (iii) has a Facility Size of $200,000,000 (without consideration of reductions in principal amount thereunder due to scheduled amortization) or greater, (iv) if rated by S&amp;P, is rated not lower than B-, and (v) if rated by Moody’s, is rated not lower than B3 (or an equivalent Fitch rating).</w:t>
      </w:r>
    </w:p>
    <w:p>
      <w:pPr>
        <w:spacing w:after="0" w:line="185" w:lineRule="exact"/>
        <w:rPr>
          <w:sz w:val="20"/>
          <w:szCs w:val="20"/>
          <w:color w:val="auto"/>
        </w:rPr>
      </w:pPr>
    </w:p>
    <w:p>
      <w:pPr>
        <w:ind w:right="12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of the year other than (i) Saturday or a Sunday or (ii) any other day on which commercial banks in New York, New York or Atlanta, Georgia or the city in which the offices of the Collateral Custodian are authorized or required by applicable law, regulation or executive order to close;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determination of a Business Day shall relate to an Advance with respect to Foreign Currency Loan Assets, any day on which banks are not open in the principal financial center relating to such Foreign Currency.</w:t>
      </w:r>
    </w:p>
    <w:p>
      <w:pPr>
        <w:spacing w:after="0" w:line="172" w:lineRule="exact"/>
        <w:rPr>
          <w:sz w:val="20"/>
          <w:szCs w:val="20"/>
          <w:color w:val="auto"/>
        </w:rPr>
      </w:pPr>
    </w:p>
    <w:p>
      <w:pPr>
        <w:ind w:right="1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means, with respect to any entity, the obligations of such entity to pay rent or other amounts under any lease of (or other arrangement conveying the right to use) real or personal property, or a combination thereof, which obligations are required to be classified and accounted for as capital leases on a balance sheet of such entity under GAAP, and the amount of such obligations shall be the capitalized amount thereof determined in accordance with GAAP.</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means the lawful currency of Canada.</w:t>
      </w:r>
    </w:p>
    <w:p>
      <w:pPr>
        <w:spacing w:after="0" w:line="223"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CDOR Rate</w:t>
      </w:r>
      <w:r>
        <w:rPr>
          <w:rFonts w:ascii="Arial" w:cs="Arial" w:eastAsia="Arial" w:hAnsi="Arial"/>
          <w:sz w:val="18"/>
          <w:szCs w:val="18"/>
          <w:color w:val="auto"/>
        </w:rPr>
        <w:t xml:space="preserve">” means the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average of the annual yield rates applicable to Canadian Dollar Bankers’ acceptances at or about 10:00 a.m. (Toronto, Ontario time) on the day that is two Business Days prior to the first day of the Fixed Period (or with respect to Daily LIBOR, on such Business Day) as reported on the “CDOR Page” (or any display substituted therefor) of Reuters Monitor Money Rates Service (or such other page or commercially available source displaying Canadian interbank bid rates for Canadian Dollar bankers’ acceptances as may be designated by the Administrative Agent from time to time).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460" w:top="273" w:right="499" w:bottom="1440" w:gutter="0" w:footer="0" w:header="0"/>
        </w:sectPr>
      </w:pPr>
    </w:p>
    <w:bookmarkStart w:id="75" w:name="page76"/>
    <w:bookmarkEnd w:id="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have occurred if any of the following occur:</w:t>
      </w:r>
    </w:p>
    <w:p>
      <w:pPr>
        <w:spacing w:after="0" w:line="115" w:lineRule="exact"/>
        <w:rPr>
          <w:sz w:val="20"/>
          <w:szCs w:val="20"/>
          <w:color w:val="auto"/>
        </w:rPr>
      </w:pPr>
    </w:p>
    <w:p>
      <w:pPr>
        <w:ind w:left="440" w:right="80" w:firstLine="421"/>
        <w:spacing w:after="0" w:line="255" w:lineRule="auto"/>
        <w:tabs>
          <w:tab w:leader="none" w:pos="11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or two or more Persons acting in concert shall have acquired “beneficial ownership” (as such term is defined in Sections 13(d)-3 and 13(d)-6 of the Exchange Act), directly or indirectly, of, or shall have acquired by contract or otherwise, or shall have entered into a contract or arrangement that, upon consummation, will result in its or their acquisition of, or Control over, Solar Management or membership interests representing 35% more of the combined voting power of all membership interests in either entity in Solar Management;</w:t>
      </w:r>
    </w:p>
    <w:p>
      <w:pPr>
        <w:spacing w:after="0" w:line="82" w:lineRule="exact"/>
        <w:rPr>
          <w:rFonts w:ascii="Arial" w:cs="Arial" w:eastAsia="Arial" w:hAnsi="Arial"/>
          <w:sz w:val="18"/>
          <w:szCs w:val="18"/>
          <w:color w:val="auto"/>
        </w:rPr>
      </w:pPr>
    </w:p>
    <w:p>
      <w:pPr>
        <w:ind w:left="440" w:right="180" w:firstLine="421"/>
        <w:spacing w:after="0" w:line="275" w:lineRule="auto"/>
        <w:tabs>
          <w:tab w:leader="none" w:pos="11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adoption by the members of either entity in Solar Management of a plan or proposal for the liquidation or dissolution of either such entity or of Solar Capital;</w:t>
      </w:r>
    </w:p>
    <w:p>
      <w:pPr>
        <w:spacing w:after="0" w:line="63" w:lineRule="exact"/>
        <w:rPr>
          <w:rFonts w:ascii="Arial" w:cs="Arial" w:eastAsia="Arial" w:hAnsi="Arial"/>
          <w:sz w:val="18"/>
          <w:szCs w:val="18"/>
          <w:color w:val="auto"/>
        </w:rPr>
      </w:pPr>
    </w:p>
    <w:p>
      <w:pPr>
        <w:ind w:left="440" w:right="80" w:firstLine="421"/>
        <w:spacing w:after="0" w:line="275" w:lineRule="auto"/>
        <w:tabs>
          <w:tab w:leader="none" w:pos="11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by Solar Management to perform its material obligations under the Management Agreements or any Management Agreement shall fail to be in full force and effect;</w:t>
      </w:r>
    </w:p>
    <w:p>
      <w:pPr>
        <w:spacing w:after="0" w:line="63" w:lineRule="exact"/>
        <w:rPr>
          <w:rFonts w:ascii="Arial" w:cs="Arial" w:eastAsia="Arial" w:hAnsi="Arial"/>
          <w:sz w:val="18"/>
          <w:szCs w:val="18"/>
          <w:color w:val="auto"/>
        </w:rPr>
      </w:pPr>
    </w:p>
    <w:p>
      <w:pPr>
        <w:ind w:left="440" w:right="280" w:firstLine="421"/>
        <w:spacing w:after="0" w:line="275" w:lineRule="auto"/>
        <w:tabs>
          <w:tab w:leader="none" w:pos="11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failure by Solar Capital to own 100% of the limited liability company membership interests in the Borrower, free and clear of any Lien other than Permitted Liens or to exercise all power to direct the management policies of the Borrower; or</w:t>
      </w:r>
    </w:p>
    <w:p>
      <w:pPr>
        <w:spacing w:after="0" w:line="63" w:lineRule="exact"/>
        <w:rPr>
          <w:rFonts w:ascii="Arial" w:cs="Arial" w:eastAsia="Arial" w:hAnsi="Arial"/>
          <w:sz w:val="18"/>
          <w:szCs w:val="18"/>
          <w:color w:val="auto"/>
        </w:rPr>
      </w:pPr>
    </w:p>
    <w:p>
      <w:pPr>
        <w:ind w:left="440" w:firstLine="421"/>
        <w:spacing w:after="0" w:line="310" w:lineRule="auto"/>
        <w:tabs>
          <w:tab w:leader="none" w:pos="11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the dissolution, termination or liquidation in whole or in part, transfer or other disposition, in each case, of all or substantially all of the assets of, Solar Capital (except any merger or consolidation that does not violate </w:t>
      </w:r>
      <w:r>
        <w:rPr>
          <w:rFonts w:ascii="Arial" w:cs="Arial" w:eastAsia="Arial" w:hAnsi="Arial"/>
          <w:sz w:val="16"/>
          <w:szCs w:val="16"/>
          <w:u w:val="single" w:color="auto"/>
          <w:color w:val="auto"/>
        </w:rPr>
        <w:t>Section 5.04(a)</w:t>
      </w:r>
      <w:r>
        <w:rPr>
          <w:rFonts w:ascii="Arial" w:cs="Arial" w:eastAsia="Arial" w:hAnsi="Arial"/>
          <w:sz w:val="16"/>
          <w:szCs w:val="16"/>
          <w:color w:val="auto"/>
        </w:rPr>
        <w:t xml:space="preserve"> or the merger between SLR Investment Corp., the surviving entity, and SLR Senior Investment Corp., the merging entity, occurring on or after the Tenth Amendment Effective Date).</w:t>
      </w:r>
    </w:p>
    <w:p>
      <w:pPr>
        <w:spacing w:after="0" w:line="147"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Charged-Off Asset</w:t>
      </w:r>
      <w:r>
        <w:rPr>
          <w:rFonts w:ascii="Arial" w:cs="Arial" w:eastAsia="Arial" w:hAnsi="Arial"/>
          <w:sz w:val="18"/>
          <w:szCs w:val="18"/>
          <w:color w:val="auto"/>
        </w:rPr>
        <w:t>”: A Loan Asset with respect to which either of the following occurs: (i) the Servicer has classified such Loan Asset as “charged-off” pursuant to the criteria set forth in the Credit and Collection Policy, or (ii) all or any portion of one or more principal or interest payments (other than in respect of default rate interest thereon) under such Loan Asset remains unpaid for at least 120 days from the original due date for such payment (without giving effect to any Servicer Advances thereon).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Charged-Off Ratio</w:t>
      </w:r>
      <w:r>
        <w:rPr>
          <w:rFonts w:ascii="Arial" w:cs="Arial" w:eastAsia="Arial" w:hAnsi="Arial"/>
          <w:sz w:val="16"/>
          <w:szCs w:val="16"/>
          <w:color w:val="auto"/>
        </w:rPr>
        <w:t>” means, as of any date of determination, the percentage equivalent of a fraction (i) the numerator of which is equal to</w:t>
      </w:r>
    </w:p>
    <w:p>
      <w:pPr>
        <w:spacing w:after="0" w:line="46" w:lineRule="exact"/>
        <w:rPr>
          <w:sz w:val="20"/>
          <w:szCs w:val="20"/>
          <w:color w:val="auto"/>
        </w:rPr>
      </w:pPr>
    </w:p>
    <w:p>
      <w:pPr>
        <w:ind w:firstLine="2"/>
        <w:spacing w:after="0" w:line="253"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sum of the initial Assigned Value of all Loan Assets that became Charged-Off Assets during the immediately prior 3-Month period, (b)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4, and (ii) the denominator of which is equal (a) the sum of the Aggregate Outstanding Principal Balance as of the first day of each Month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3-Month period being tested, (b)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3.</w:t>
      </w:r>
    </w:p>
    <w:p>
      <w:pPr>
        <w:spacing w:after="0" w:line="191" w:lineRule="exact"/>
        <w:rPr>
          <w:sz w:val="20"/>
          <w:szCs w:val="20"/>
          <w:color w:val="auto"/>
        </w:rPr>
      </w:pPr>
    </w:p>
    <w:p>
      <w:pPr>
        <w:ind w:right="1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 Conduits</w:t>
      </w:r>
      <w:r>
        <w:rPr>
          <w:rFonts w:ascii="Arial" w:cs="Arial" w:eastAsia="Arial" w:hAnsi="Arial"/>
          <w:sz w:val="18"/>
          <w:szCs w:val="18"/>
          <w:color w:val="auto"/>
        </w:rPr>
        <w:t>” means any of (i) CAFCO, LLC, (ii) CHARTA, LLC, (iii) CIESCO, LLC and (iv) CRC Funding, LLC, and, together with their respective successors and assigns.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Citibank</w:t>
      </w:r>
      <w:r>
        <w:rPr>
          <w:rFonts w:ascii="Arial" w:cs="Arial" w:eastAsia="Arial" w:hAnsi="Arial"/>
          <w:sz w:val="18"/>
          <w:szCs w:val="18"/>
          <w:color w:val="auto"/>
        </w:rPr>
        <w:t>” means Citibank, N.A., a national banking association, together with its successors and assigns.</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“clearing agency” pursuant to Section 17A of the Exchange Act.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August 26, 2011.</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60" w:top="273" w:right="479" w:bottom="1440" w:gutter="0" w:footer="0" w:header="0"/>
        </w:sectPr>
      </w:pPr>
    </w:p>
    <w:bookmarkStart w:id="76" w:name="page77"/>
    <w:bookmarkEnd w:id="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 means Citibank, not in its individual capacity, but solely as collateral agent pursuant to the terms of this Agreement.</w:t>
      </w:r>
    </w:p>
    <w:p>
      <w:pPr>
        <w:spacing w:after="0" w:line="246" w:lineRule="exact"/>
        <w:rPr>
          <w:sz w:val="20"/>
          <w:szCs w:val="20"/>
          <w:color w:val="auto"/>
        </w:rPr>
      </w:pPr>
    </w:p>
    <w:p>
      <w:pPr>
        <w:ind w:right="1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Expenses</w:t>
      </w:r>
      <w:r>
        <w:rPr>
          <w:rFonts w:ascii="Arial" w:cs="Arial" w:eastAsia="Arial" w:hAnsi="Arial"/>
          <w:sz w:val="18"/>
          <w:szCs w:val="18"/>
          <w:color w:val="auto"/>
        </w:rPr>
        <w:t>” means the expenses set forth in the Agent Fee Letter and any other accrued and unpaid expenses (including reasonable attorneys’ fees, costs and expenses) and indemnity amounts, in each case payable by the Borrower to the Collateral Agent under the Transaction Documents.</w:t>
      </w:r>
    </w:p>
    <w:p>
      <w:pPr>
        <w:spacing w:after="0" w:line="182" w:lineRule="exact"/>
        <w:rPr>
          <w:sz w:val="20"/>
          <w:szCs w:val="20"/>
          <w:color w:val="auto"/>
        </w:rPr>
      </w:pPr>
    </w:p>
    <w:p>
      <w:pPr>
        <w:ind w:right="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Fees</w:t>
      </w:r>
      <w:r>
        <w:rPr>
          <w:rFonts w:ascii="Arial" w:cs="Arial" w:eastAsia="Arial" w:hAnsi="Arial"/>
          <w:sz w:val="18"/>
          <w:szCs w:val="18"/>
          <w:color w:val="auto"/>
        </w:rPr>
        <w:t>” means the fees set forth in the Agent Fee Letter that are payable to the Collateral Agent, as such fee letter may be amended, restated, supplemented or otherwise modified from time to time.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 Termination Notice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11.05</w:t>
      </w:r>
      <w:r>
        <w:rPr>
          <w:rFonts w:ascii="Arial" w:cs="Arial" w:eastAsia="Arial" w:hAnsi="Arial"/>
          <w:sz w:val="18"/>
          <w:szCs w:val="18"/>
          <w:color w:val="auto"/>
        </w:rPr>
        <w:t>.</w:t>
      </w:r>
    </w:p>
    <w:p>
      <w:pPr>
        <w:spacing w:after="0" w:line="223" w:lineRule="exact"/>
        <w:rPr>
          <w:sz w:val="20"/>
          <w:szCs w:val="20"/>
          <w:color w:val="auto"/>
        </w:rPr>
      </w:pPr>
    </w:p>
    <w:p>
      <w:pPr>
        <w:ind w:right="3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Custodian</w:t>
      </w:r>
      <w:r>
        <w:rPr>
          <w:rFonts w:ascii="Arial" w:cs="Arial" w:eastAsia="Arial" w:hAnsi="Arial"/>
          <w:sz w:val="18"/>
          <w:szCs w:val="18"/>
          <w:color w:val="auto"/>
        </w:rPr>
        <w:t>” means Wells Fargo Bank, N.A., not in its individual capacity, but solely as collateral custodian pursuant to the terms of this Agreement.</w:t>
      </w:r>
    </w:p>
    <w:p>
      <w:pPr>
        <w:spacing w:after="0" w:line="171" w:lineRule="exact"/>
        <w:rPr>
          <w:sz w:val="20"/>
          <w:szCs w:val="20"/>
          <w:color w:val="auto"/>
        </w:rPr>
      </w:pPr>
    </w:p>
    <w:p>
      <w:pPr>
        <w:ind w:right="24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Custodian Fees</w:t>
      </w:r>
      <w:r>
        <w:rPr>
          <w:rFonts w:ascii="Arial" w:cs="Arial" w:eastAsia="Arial" w:hAnsi="Arial"/>
          <w:sz w:val="17"/>
          <w:szCs w:val="17"/>
          <w:color w:val="auto"/>
        </w:rPr>
        <w:t>” means the fees set forth in the Backup Servicer and Collateral Custodian Fee Letter that are payable to the Collateral Custodian, as such fee letter may be amended, restated, supplemented or otherwise modified from time to time.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Custodian Termination Notice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13.05</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Portfolio</w:t>
      </w:r>
      <w:r>
        <w:rPr>
          <w:rFonts w:ascii="Arial" w:cs="Arial" w:eastAsia="Arial" w:hAnsi="Arial"/>
          <w:sz w:val="16"/>
          <w:szCs w:val="16"/>
          <w:color w:val="auto"/>
        </w:rPr>
        <w:t xml:space="preserve">” means all right, title, and interest (whether now owned or hereafter acquired or arising, and wherever located) of the Borrower in all assets of the Borrower, including the property identified below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all accounts, cash and currency, chattel paper, tangible chattel paper, electronic chattel paper, copyrights, copyright licenses, equipment, fixtures, contract rights, general intangibles, instruments, certificates of deposit, certificated securities, uncertificated securities, financial assets, securities entitlements, commercial tort claims, deposit accounts, inventory, investment property, letter-of-credit rights, software, supporting obligations, accessions, or other property consisting of, arising out of, or related to any of the following, (but excluding in each case any Retained Interest and the Excluded Amounts):</w:t>
      </w:r>
    </w:p>
    <w:p>
      <w:pPr>
        <w:spacing w:after="0" w:line="54" w:lineRule="exact"/>
        <w:rPr>
          <w:sz w:val="20"/>
          <w:szCs w:val="20"/>
          <w:color w:val="auto"/>
        </w:rPr>
      </w:pPr>
    </w:p>
    <w:p>
      <w:pPr>
        <w:ind w:left="980" w:right="80" w:firstLine="408"/>
        <w:spacing w:after="0" w:line="275" w:lineRule="auto"/>
        <w:tabs>
          <w:tab w:leader="none" w:pos="159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Loan Assets, and all monies due or to become due in payment under such Loan Assets on and after the related Cut-Off Date, including, but not limited to, all Available Collections;</w:t>
      </w:r>
    </w:p>
    <w:p>
      <w:pPr>
        <w:spacing w:after="0" w:line="63" w:lineRule="exact"/>
        <w:rPr>
          <w:rFonts w:ascii="Arial" w:cs="Arial" w:eastAsia="Arial" w:hAnsi="Arial"/>
          <w:sz w:val="18"/>
          <w:szCs w:val="18"/>
          <w:color w:val="auto"/>
        </w:rPr>
      </w:pPr>
    </w:p>
    <w:p>
      <w:pPr>
        <w:ind w:left="1660" w:hanging="272"/>
        <w:spacing w:after="0"/>
        <w:tabs>
          <w:tab w:leader="none" w:pos="1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Portfolio Assets with respect to the Loan Assets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700" w:hanging="31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Collection Account and all Permitted Investments purchased with funds on deposit in the Collection Account;</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60" w:top="273" w:right="559" w:bottom="1440" w:gutter="0" w:footer="0" w:header="0"/>
        </w:sectPr>
      </w:pPr>
    </w:p>
    <w:bookmarkStart w:id="77" w:name="page78"/>
    <w:bookmarkEnd w:id="77"/>
    <w:p>
      <w:pPr>
        <w:ind w:left="1700" w:hanging="312"/>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URCA Account and all Permitted Investments purchased with funds on deposit in the Collection Account; and</w:t>
      </w:r>
    </w:p>
    <w:p>
      <w:pPr>
        <w:spacing w:after="0" w:line="115" w:lineRule="exact"/>
        <w:rPr>
          <w:rFonts w:ascii="Arial" w:cs="Arial" w:eastAsia="Arial" w:hAnsi="Arial"/>
          <w:sz w:val="18"/>
          <w:szCs w:val="18"/>
          <w:color w:val="auto"/>
        </w:rPr>
      </w:pPr>
    </w:p>
    <w:p>
      <w:pPr>
        <w:ind w:left="1640" w:hanging="252"/>
        <w:spacing w:after="0"/>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income and Proceeds of the foregoing;</w:t>
      </w:r>
    </w:p>
    <w:p>
      <w:pPr>
        <w:spacing w:after="0" w:line="2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Portfolio does not include any Loan Assets that were sold, substituted or repurchased in accordance with the requirements of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hereof effective as of its applicable Release Date.</w:t>
      </w:r>
    </w:p>
    <w:p>
      <w:pPr>
        <w:spacing w:after="0" w:line="171" w:lineRule="exact"/>
        <w:rPr>
          <w:sz w:val="20"/>
          <w:szCs w:val="20"/>
          <w:color w:val="auto"/>
        </w:rPr>
      </w:pPr>
    </w:p>
    <w:p>
      <w:pPr>
        <w:ind w:right="14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Quality Improvement</w:t>
      </w:r>
      <w:r>
        <w:rPr>
          <w:rFonts w:ascii="Arial" w:cs="Arial" w:eastAsia="Arial" w:hAnsi="Arial"/>
          <w:sz w:val="18"/>
          <w:szCs w:val="18"/>
          <w:color w:val="auto"/>
        </w:rPr>
        <w:t xml:space="preserve">” means, as of any date of determination, (x) in respect of any Collateral Quality Test that is not then satisfied, that the degree of non-compliance with such Collateral Quality Test is either not made worse or is improved after giving effect to such transaction proposed under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or such Advance proposed to be funded in connection with the addition of an Asset to the Collateral Portfolio (whether by sale or contribution), and (y) in respect of any Collateral Quality Test that is satisfied prior to such transaction or Advance, that such test remains satisfied after giving effect to such transaction or Advance.</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Quality Test</w:t>
      </w:r>
      <w:r>
        <w:rPr>
          <w:rFonts w:ascii="Arial" w:cs="Arial" w:eastAsia="Arial" w:hAnsi="Arial"/>
          <w:sz w:val="16"/>
          <w:szCs w:val="16"/>
          <w:color w:val="auto"/>
        </w:rPr>
        <w:t>” means the Weighted Average Life Test, the Minimum Obligor Diversity Test and the Weighted Average Spread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Test.</w:t>
      </w:r>
    </w:p>
    <w:p>
      <w:pPr>
        <w:spacing w:after="0" w:line="208"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a trust account (account number 83667800 at the Account Bank) in the name of the Borrower for the benefit of and under the “control” (within the meaning of Section 9-104 of the UCC or 8-106 of the UCC, as applicable) of the Collateral Agent for the benefit of the Secured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rights of the Collateral Agent hereunder with respect to such funds, the funds deposited therein (including any interest and earnings thereon) from time to time shall constitute the property and assets of the Borrower, and the Borrower shall be solely liable for any Taxes payable with respect to the Collection Account.</w:t>
      </w:r>
    </w:p>
    <w:p>
      <w:pPr>
        <w:spacing w:after="0" w:line="190" w:lineRule="exact"/>
        <w:rPr>
          <w:sz w:val="20"/>
          <w:szCs w:val="20"/>
          <w:color w:val="auto"/>
        </w:rPr>
      </w:pPr>
    </w:p>
    <w:p>
      <w:pPr>
        <w:jc w:val="both"/>
        <w:ind w:right="30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 Agreement</w:t>
      </w:r>
      <w:r>
        <w:rPr>
          <w:rFonts w:ascii="Arial" w:cs="Arial" w:eastAsia="Arial" w:hAnsi="Arial"/>
          <w:sz w:val="18"/>
          <w:szCs w:val="18"/>
          <w:color w:val="auto"/>
        </w:rPr>
        <w:t>” means that certain Collection Account Agreement, dated the Closing Date, among the Borrower, the Servicer, the Account Bank, the Administrative Agent and the Collateral Agent, governing the Collection Account and which permits the Collateral Agent on behalf of the Secured Parties to direct disposition of the funds in the Collection Account, as such agreement may be amended, modified or supplemented from time to time in accordance with its terms.</w:t>
      </w:r>
    </w:p>
    <w:p>
      <w:pPr>
        <w:spacing w:after="0" w:line="185" w:lineRule="exact"/>
        <w:rPr>
          <w:sz w:val="20"/>
          <w:szCs w:val="20"/>
          <w:color w:val="auto"/>
        </w:rPr>
      </w:pPr>
    </w:p>
    <w:p>
      <w:pPr>
        <w:ind w:right="2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Date</w:t>
      </w:r>
      <w:r>
        <w:rPr>
          <w:rFonts w:ascii="Arial" w:cs="Arial" w:eastAsia="Arial" w:hAnsi="Arial"/>
          <w:sz w:val="18"/>
          <w:szCs w:val="18"/>
          <w:color w:val="auto"/>
        </w:rPr>
        <w:t>” means the date on which the aggregate outstanding principal amount of the Advances have been indefeasibly repaid in full and all Yield and Fees and all other Obligations have been indefeasibly paid in full (other than contingent obligations that survive the termination of any Transaction Document), the commitments of the Lenders hereunder have been terminated and the Borrower shall have no further right to request any additional Advances.</w:t>
      </w:r>
    </w:p>
    <w:p>
      <w:pPr>
        <w:spacing w:after="0" w:line="185"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Notes</w:t>
      </w:r>
      <w:r>
        <w:rPr>
          <w:rFonts w:ascii="Arial" w:cs="Arial" w:eastAsia="Arial" w:hAnsi="Arial"/>
          <w:sz w:val="18"/>
          <w:szCs w:val="18"/>
          <w:color w:val="auto"/>
        </w:rPr>
        <w:t>” means, any short-term promissory notes of any Conduit Lender or a participant thereof issued by such Conduit Lender or participant thereof in the commercial paper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60" w:top="273" w:right="519" w:bottom="1440" w:gutter="0" w:footer="0" w:header="0"/>
        </w:sectPr>
      </w:pPr>
    </w:p>
    <w:bookmarkStart w:id="78" w:name="page79"/>
    <w:bookmarkEnd w:id="78"/>
    <w:p>
      <w:pPr>
        <w:ind w:right="2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means, with respect to each Liquidity Bank and Institutional Lender listed on </w:t>
      </w:r>
      <w:r>
        <w:rPr>
          <w:rFonts w:ascii="Arial" w:cs="Arial" w:eastAsia="Arial" w:hAnsi="Arial"/>
          <w:sz w:val="18"/>
          <w:szCs w:val="18"/>
          <w:u w:val="single" w:color="auto"/>
          <w:color w:val="auto"/>
        </w:rPr>
        <w:t>Annex A</w:t>
      </w:r>
      <w:r>
        <w:rPr>
          <w:rFonts w:ascii="Arial" w:cs="Arial" w:eastAsia="Arial" w:hAnsi="Arial"/>
          <w:sz w:val="18"/>
          <w:szCs w:val="18"/>
          <w:color w:val="auto"/>
        </w:rPr>
        <w:t>, such Person’s Base Commitment, Delayed Draw Commitment and Additional Commitment.</w:t>
      </w:r>
    </w:p>
    <w:p>
      <w:pPr>
        <w:spacing w:after="0" w:line="171" w:lineRule="exact"/>
        <w:rPr>
          <w:sz w:val="20"/>
          <w:szCs w:val="20"/>
          <w:color w:val="auto"/>
        </w:rPr>
      </w:pPr>
    </w:p>
    <w:p>
      <w:pPr>
        <w:ind w:right="1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earliest to occur of (i) the Scheduled Commitment Termination Date, (ii) the date of the declaration, or automatic occurrence, of an Event of Default (unless waived or rescinded), or (iii) the occurrence of the termination of this Agreement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hereof.</w:t>
      </w:r>
    </w:p>
    <w:p>
      <w:pPr>
        <w:spacing w:after="0" w:line="182" w:lineRule="exact"/>
        <w:rPr>
          <w:sz w:val="20"/>
          <w:szCs w:val="20"/>
          <w:color w:val="auto"/>
        </w:rPr>
      </w:pPr>
    </w:p>
    <w:p>
      <w:pPr>
        <w:ind w:right="2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Limits</w:t>
      </w:r>
      <w:r>
        <w:rPr>
          <w:rFonts w:ascii="Arial" w:cs="Arial" w:eastAsia="Arial" w:hAnsi="Arial"/>
          <w:sz w:val="18"/>
          <w:szCs w:val="18"/>
          <w:color w:val="auto"/>
        </w:rPr>
        <w:t xml:space="preserve">” means, as of any date of determination prior to (x) the Commitment Termination Date with respect to all items below and (y) the Final Maturity Date with respect to the concentration limit set forth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for purposes of determining the Excess Concentration Amount and the Borrowing Base, the concentration limitations set forth below:</w:t>
      </w:r>
    </w:p>
    <w:p>
      <w:pPr>
        <w:spacing w:after="0" w:line="75" w:lineRule="exact"/>
        <w:rPr>
          <w:sz w:val="20"/>
          <w:szCs w:val="20"/>
          <w:color w:val="auto"/>
        </w:rPr>
      </w:pPr>
    </w:p>
    <w:p>
      <w:pPr>
        <w:ind w:left="1100" w:hanging="239"/>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Outstanding Loan Balances of all Eligible Loan Assets with Obligors:</w:t>
      </w:r>
    </w:p>
    <w:p>
      <w:pPr>
        <w:spacing w:after="0" w:line="115" w:lineRule="exact"/>
        <w:rPr>
          <w:rFonts w:ascii="Arial" w:cs="Arial" w:eastAsia="Arial" w:hAnsi="Arial"/>
          <w:sz w:val="18"/>
          <w:szCs w:val="18"/>
          <w:color w:val="auto"/>
        </w:rPr>
      </w:pPr>
    </w:p>
    <w:p>
      <w:pPr>
        <w:ind w:left="1600" w:hanging="212"/>
        <w:spacing w:after="0"/>
        <w:tabs>
          <w:tab w:leader="none" w:pos="16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Industry with the highest aggregate Outstanding Loan Balances shall not exceed 25% of the Concentration Test Amount;</w:t>
      </w:r>
    </w:p>
    <w:p>
      <w:pPr>
        <w:spacing w:after="0" w:line="138" w:lineRule="exact"/>
        <w:rPr>
          <w:rFonts w:ascii="Arial" w:cs="Arial" w:eastAsia="Arial" w:hAnsi="Arial"/>
          <w:sz w:val="16"/>
          <w:szCs w:val="16"/>
          <w:color w:val="auto"/>
        </w:rPr>
      </w:pPr>
    </w:p>
    <w:p>
      <w:pPr>
        <w:ind w:left="980" w:right="260" w:firstLine="408"/>
        <w:spacing w:after="0" w:line="275" w:lineRule="auto"/>
        <w:tabs>
          <w:tab w:leader="none" w:pos="16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 the Industry with the second highest aggregate Outstanding Loan Balances shall not exceed 20% of the Concentration Test Amount; and</w:t>
      </w:r>
    </w:p>
    <w:p>
      <w:pPr>
        <w:spacing w:after="0" w:line="63" w:lineRule="exact"/>
        <w:rPr>
          <w:rFonts w:ascii="Arial" w:cs="Arial" w:eastAsia="Arial" w:hAnsi="Arial"/>
          <w:sz w:val="18"/>
          <w:szCs w:val="18"/>
          <w:color w:val="auto"/>
        </w:rPr>
      </w:pPr>
    </w:p>
    <w:p>
      <w:pPr>
        <w:ind w:left="980" w:right="20" w:firstLine="408"/>
        <w:spacing w:after="0" w:line="275" w:lineRule="auto"/>
        <w:tabs>
          <w:tab w:leader="none" w:pos="1692" w:val="left"/>
        </w:tabs>
        <w:numPr>
          <w:ilvl w:val="1"/>
          <w:numId w:val="45"/>
        </w:numPr>
        <w:rPr>
          <w:rFonts w:ascii="Arial" w:cs="Arial" w:eastAsia="Arial" w:hAnsi="Arial"/>
          <w:sz w:val="18"/>
          <w:szCs w:val="18"/>
          <w:color w:val="auto"/>
        </w:rPr>
      </w:pPr>
      <w:r>
        <w:rPr>
          <w:rFonts w:ascii="Arial" w:cs="Arial" w:eastAsia="Arial" w:hAnsi="Arial"/>
          <w:sz w:val="18"/>
          <w:szCs w:val="18"/>
          <w:color w:val="auto"/>
        </w:rPr>
        <w:t xml:space="preserve">in any Industry (other than the Industries considered under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shall not exceed 15% of the Concentration Test Amount;</w:t>
      </w:r>
    </w:p>
    <w:p>
      <w:pPr>
        <w:spacing w:after="0" w:line="63" w:lineRule="exact"/>
        <w:rPr>
          <w:rFonts w:ascii="Arial" w:cs="Arial" w:eastAsia="Arial" w:hAnsi="Arial"/>
          <w:sz w:val="18"/>
          <w:szCs w:val="18"/>
          <w:color w:val="auto"/>
        </w:rPr>
      </w:pPr>
    </w:p>
    <w:p>
      <w:pPr>
        <w:ind w:left="440" w:firstLine="421"/>
        <w:spacing w:after="0" w:line="310" w:lineRule="auto"/>
        <w:tabs>
          <w:tab w:leader="none" w:pos="111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sum of Outstanding Loan Balances of all Fixed Rate Loan Assets that are Eligible Loan Assets (other than Fixed Rate Loan Assets subject to a floating rate Hedging Agreement approved by the Administrative Agent) (i) during the Borrowing Base Cure Period, shall not exceed 20% of the Concentration Test Amount, and (ii) at all other times, shall not exceed 10% of the Concentration Test Amount;</w:t>
      </w:r>
    </w:p>
    <w:p>
      <w:pPr>
        <w:spacing w:after="0" w:line="39" w:lineRule="exact"/>
        <w:rPr>
          <w:rFonts w:ascii="Arial" w:cs="Arial" w:eastAsia="Arial" w:hAnsi="Arial"/>
          <w:sz w:val="16"/>
          <w:szCs w:val="16"/>
          <w:color w:val="auto"/>
        </w:rPr>
      </w:pPr>
    </w:p>
    <w:p>
      <w:pPr>
        <w:ind w:left="440" w:right="660" w:firstLine="421"/>
        <w:spacing w:after="0" w:line="275" w:lineRule="auto"/>
        <w:tabs>
          <w:tab w:leader="none" w:pos="11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Outstanding Loan Balances of all Designated Loan Assets that are Eligible Loan Assets shall not exceed 25% of the Concentration Test Amount;</w:t>
      </w:r>
    </w:p>
    <w:p>
      <w:pPr>
        <w:spacing w:after="0" w:line="63" w:lineRule="exact"/>
        <w:rPr>
          <w:rFonts w:ascii="Arial" w:cs="Arial" w:eastAsia="Arial" w:hAnsi="Arial"/>
          <w:sz w:val="18"/>
          <w:szCs w:val="18"/>
          <w:color w:val="auto"/>
        </w:rPr>
      </w:pPr>
    </w:p>
    <w:p>
      <w:pPr>
        <w:ind w:left="440" w:right="560" w:firstLine="421"/>
        <w:spacing w:after="0" w:line="275" w:lineRule="auto"/>
        <w:tabs>
          <w:tab w:leader="none" w:pos="11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Outstanding Loan Balances of all Second Lien Loan Assets that are Eligible Loan Assets shall not exceed 10% of the Concentration Test Amount;</w:t>
      </w:r>
    </w:p>
    <w:p>
      <w:pPr>
        <w:spacing w:after="0" w:line="63" w:lineRule="exact"/>
        <w:rPr>
          <w:rFonts w:ascii="Arial" w:cs="Arial" w:eastAsia="Arial" w:hAnsi="Arial"/>
          <w:sz w:val="18"/>
          <w:szCs w:val="18"/>
          <w:color w:val="auto"/>
        </w:rPr>
      </w:pPr>
    </w:p>
    <w:p>
      <w:pPr>
        <w:ind w:left="440" w:right="20" w:firstLine="421"/>
        <w:spacing w:after="0" w:line="262" w:lineRule="auto"/>
        <w:tabs>
          <w:tab w:leader="none" w:pos="11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Outstanding Loan Balances of all Eligible Loan Assets that do not provide for scheduled payments of floating-rate interest in cash on at least a quarterly basis (i) during the Borrowing Base Cure Period, shall not exceed 25% of the Concentration Test Amount, and (ii) at all other times, shall not exceed 15% of the Concentration Test Amount;</w:t>
      </w:r>
    </w:p>
    <w:p>
      <w:pPr>
        <w:spacing w:after="0" w:line="74" w:lineRule="exact"/>
        <w:rPr>
          <w:rFonts w:ascii="Arial" w:cs="Arial" w:eastAsia="Arial" w:hAnsi="Arial"/>
          <w:sz w:val="18"/>
          <w:szCs w:val="18"/>
          <w:color w:val="auto"/>
        </w:rPr>
      </w:pPr>
    </w:p>
    <w:p>
      <w:pPr>
        <w:ind w:left="440" w:right="120" w:firstLine="421"/>
        <w:spacing w:after="0" w:line="275" w:lineRule="auto"/>
        <w:tabs>
          <w:tab w:leader="none" w:pos="10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Outstanding Loan Balances of all Eligible Loan Assets in which the Borrower holds a participation interest shall not exceed 5% of the Concentration Test Amount;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460" w:top="273" w:right="559" w:bottom="1440" w:gutter="0" w:footer="0" w:header="0"/>
        </w:sectPr>
      </w:pPr>
    </w:p>
    <w:bookmarkStart w:id="79" w:name="page80"/>
    <w:bookmarkEnd w:id="79"/>
    <w:p>
      <w:pPr>
        <w:ind w:right="280" w:firstLine="421"/>
        <w:spacing w:after="0" w:line="305" w:lineRule="auto"/>
        <w:tabs>
          <w:tab w:leader="none" w:pos="675" w:val="left"/>
        </w:tabs>
        <w:numPr>
          <w:ilvl w:val="0"/>
          <w:numId w:val="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(1) the aggregate Outstanding Loan Balance of the Eligible Loan Assets of the Obligor Group with the highest aggregate Outstanding Loan Balance shall not exceed the lesser of (x) 10% of the Concentration Test Amount, and (y) $75,000,000;</w:t>
      </w:r>
    </w:p>
    <w:p>
      <w:pPr>
        <w:spacing w:after="0" w:line="40" w:lineRule="exact"/>
        <w:rPr>
          <w:rFonts w:ascii="Arial" w:cs="Arial" w:eastAsia="Arial" w:hAnsi="Arial"/>
          <w:sz w:val="17"/>
          <w:szCs w:val="17"/>
          <w:color w:val="auto"/>
        </w:rPr>
      </w:pPr>
    </w:p>
    <w:p>
      <w:pPr>
        <w:ind w:left="540" w:right="40" w:firstLine="408"/>
        <w:spacing w:after="0" w:line="262" w:lineRule="auto"/>
        <w:tabs>
          <w:tab w:leader="none" w:pos="11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aggregate Outstanding Loan Balance of the Eligible Loan Assets of the Obligor Groups with the next five highest aggregate Outstanding Loan Balances (excluding the Loan Asset considered under </w:t>
      </w:r>
      <w:r>
        <w:rPr>
          <w:rFonts w:ascii="Arial" w:cs="Arial" w:eastAsia="Arial" w:hAnsi="Arial"/>
          <w:sz w:val="18"/>
          <w:szCs w:val="18"/>
          <w:u w:val="single" w:color="auto"/>
          <w:color w:val="auto"/>
        </w:rPr>
        <w:t>clause (1)</w:t>
      </w:r>
      <w:r>
        <w:rPr>
          <w:rFonts w:ascii="Arial" w:cs="Arial" w:eastAsia="Arial" w:hAnsi="Arial"/>
          <w:sz w:val="18"/>
          <w:szCs w:val="18"/>
          <w:color w:val="auto"/>
        </w:rPr>
        <w:t xml:space="preserve"> above) shall not exceed 8.0% of the Concentration Test Amount;</w:t>
      </w:r>
    </w:p>
    <w:p>
      <w:pPr>
        <w:spacing w:after="0" w:line="74" w:lineRule="exact"/>
        <w:rPr>
          <w:rFonts w:ascii="Arial" w:cs="Arial" w:eastAsia="Arial" w:hAnsi="Arial"/>
          <w:sz w:val="18"/>
          <w:szCs w:val="18"/>
          <w:color w:val="auto"/>
        </w:rPr>
      </w:pPr>
    </w:p>
    <w:p>
      <w:pPr>
        <w:ind w:left="540" w:right="800" w:firstLine="408"/>
        <w:spacing w:after="0" w:line="275" w:lineRule="auto"/>
        <w:tabs>
          <w:tab w:leader="none" w:pos="11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the aggregate Outstanding Loan Balance of the Eligible Loan Assets of any Obligor Group (excluding the Loan Assets considered under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shall not exceed 6% of the Concentration Test Amount;</w:t>
      </w:r>
    </w:p>
    <w:p>
      <w:pPr>
        <w:spacing w:after="0" w:line="63" w:lineRule="exact"/>
        <w:rPr>
          <w:rFonts w:ascii="Arial" w:cs="Arial" w:eastAsia="Arial" w:hAnsi="Arial"/>
          <w:sz w:val="18"/>
          <w:szCs w:val="18"/>
          <w:color w:val="auto"/>
        </w:rPr>
      </w:pPr>
    </w:p>
    <w:p>
      <w:pPr>
        <w:ind w:left="540" w:right="300" w:firstLine="408"/>
        <w:spacing w:after="0" w:line="275" w:lineRule="auto"/>
        <w:tabs>
          <w:tab w:leader="none" w:pos="11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aggregate Outstanding Loan Balance of all Healthcare Loan Assets that are the Eligible Loan Assets of any single Obligor Group shall not exceed 5% of the Concentration Test Amount; and</w:t>
      </w:r>
    </w:p>
    <w:p>
      <w:pPr>
        <w:spacing w:after="0" w:line="63" w:lineRule="exact"/>
        <w:rPr>
          <w:rFonts w:ascii="Arial" w:cs="Arial" w:eastAsia="Arial" w:hAnsi="Arial"/>
          <w:sz w:val="18"/>
          <w:szCs w:val="18"/>
          <w:color w:val="auto"/>
        </w:rPr>
      </w:pPr>
    </w:p>
    <w:p>
      <w:pPr>
        <w:ind w:left="540" w:right="120" w:firstLine="408"/>
        <w:spacing w:after="0" w:line="275" w:lineRule="auto"/>
        <w:tabs>
          <w:tab w:leader="none" w:pos="119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aggregate Outstanding Loan Balance of all Asset Based Loans that are the Eligible Loan Assets of any single Obligor Group shall not exceed 5% of the Concentration Test Amount;</w:t>
      </w:r>
    </w:p>
    <w:p>
      <w:pPr>
        <w:spacing w:after="0" w:line="63" w:lineRule="exact"/>
        <w:rPr>
          <w:rFonts w:ascii="Arial" w:cs="Arial" w:eastAsia="Arial" w:hAnsi="Arial"/>
          <w:sz w:val="18"/>
          <w:szCs w:val="18"/>
          <w:color w:val="auto"/>
        </w:rPr>
      </w:pPr>
    </w:p>
    <w:p>
      <w:pPr>
        <w:ind w:left="680" w:hanging="259"/>
        <w:spacing w:after="0"/>
        <w:tabs>
          <w:tab w:leader="none" w:pos="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sum of Outstanding Loan Balances of all DIP Loans that are Eligible Loan Assets shall not exceed 5% of the Concentration Test</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100" w:lineRule="exact"/>
        <w:rPr>
          <w:rFonts w:ascii="Arial" w:cs="Arial" w:eastAsia="Arial" w:hAnsi="Arial"/>
          <w:sz w:val="16"/>
          <w:szCs w:val="16"/>
          <w:color w:val="auto"/>
        </w:rPr>
      </w:pPr>
    </w:p>
    <w:p>
      <w:pPr>
        <w:ind w:right="160" w:firstLine="421"/>
        <w:spacing w:after="0" w:line="27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 Outstanding Loan Balances of all Revolving Loan Assets (which definition includes unfunded delayed draw term loans) that are Eligible Loan Assets shall not exceed 10% of the Concentration Test Amount;</w:t>
      </w:r>
    </w:p>
    <w:p>
      <w:pPr>
        <w:spacing w:after="0" w:line="63" w:lineRule="exact"/>
        <w:rPr>
          <w:rFonts w:ascii="Arial" w:cs="Arial" w:eastAsia="Arial" w:hAnsi="Arial"/>
          <w:sz w:val="18"/>
          <w:szCs w:val="18"/>
          <w:color w:val="auto"/>
        </w:rPr>
      </w:pPr>
    </w:p>
    <w:p>
      <w:pPr>
        <w:ind w:right="300" w:firstLine="421"/>
        <w:spacing w:after="0" w:line="27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 Outstanding Loan Balances of all Foreign Currency Loan Assets that are Eligible Loan Assets shall not exceed 20% of the Concentration Test Amount;</w:t>
      </w:r>
    </w:p>
    <w:p>
      <w:pPr>
        <w:spacing w:after="0" w:line="63" w:lineRule="exact"/>
        <w:rPr>
          <w:rFonts w:ascii="Arial" w:cs="Arial" w:eastAsia="Arial" w:hAnsi="Arial"/>
          <w:sz w:val="18"/>
          <w:szCs w:val="18"/>
          <w:color w:val="auto"/>
        </w:rPr>
      </w:pPr>
    </w:p>
    <w:p>
      <w:pPr>
        <w:ind w:right="580" w:firstLine="421"/>
        <w:spacing w:after="0" w:line="275"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sum of Outstanding Loan Balances of all Foreign Currency Loan Assets denominated in any single Foreign Currency that are Eligible Loan Assets shall not exceed 10% of the Concentration Test Amount;</w:t>
      </w:r>
    </w:p>
    <w:p>
      <w:pPr>
        <w:spacing w:after="0" w:line="63" w:lineRule="exact"/>
        <w:rPr>
          <w:rFonts w:ascii="Arial" w:cs="Arial" w:eastAsia="Arial" w:hAnsi="Arial"/>
          <w:sz w:val="18"/>
          <w:szCs w:val="18"/>
          <w:color w:val="auto"/>
        </w:rPr>
      </w:pPr>
    </w:p>
    <w:p>
      <w:pPr>
        <w:ind w:right="100" w:firstLine="421"/>
        <w:spacing w:after="0" w:line="258"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the sum of Outstanding Loan Balances of all Eligible Loan Assets (other than Broadly Syndicated Loan Assets, Healthcare Loan Assets, Asset Based Loans and Unitranche Loan Assets) for which the Senior Debt/EBITDA Ratio of the related Obligor (i) with respect to all Large Market Loan Assets, is greater than 4.50:1.00,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with respect to all Mid-Market Loan Assets, is greater than 4.00:1.00, shall not exceed 17.5% of the Concentration Test Amount;</w:t>
      </w:r>
    </w:p>
    <w:p>
      <w:pPr>
        <w:spacing w:after="0" w:line="77" w:lineRule="exact"/>
        <w:rPr>
          <w:rFonts w:ascii="Arial" w:cs="Arial" w:eastAsia="Arial" w:hAnsi="Arial"/>
          <w:sz w:val="18"/>
          <w:szCs w:val="18"/>
          <w:color w:val="auto"/>
        </w:rPr>
      </w:pPr>
    </w:p>
    <w:p>
      <w:pPr>
        <w:ind w:firstLine="421"/>
        <w:spacing w:after="0" w:line="295" w:lineRule="auto"/>
        <w:tabs>
          <w:tab w:leader="none" w:pos="7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the sum of Outstanding Loan Balances of Unitranche Loan Assets which are Eligible Loan Assets (other than Broadly Syndicated Loan Assets, Asset Based Loans and Healthcare Loan Assets) for which the Total Debt/EBITDA Ratio of the related Obligor (and for which the Obligor thereunder has no other senior Indebtedness outstanding) (i) with respect to Large Market Loan Assets for which the EBITDA of the related Obligor is more than $50,000,000, is greater than 5.75:1.00,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with respect to all other Large Market Loan Assets, is greater than 5.50:1.00, </w:t>
      </w:r>
      <w:r>
        <w:rPr>
          <w:rFonts w:ascii="Arial" w:cs="Arial" w:eastAsia="Arial" w:hAnsi="Arial"/>
          <w:sz w:val="16"/>
          <w:szCs w:val="16"/>
          <w:i w:val="1"/>
          <w:iCs w:val="1"/>
          <w:color w:val="auto"/>
        </w:rPr>
        <w:t xml:space="preserve">plus </w:t>
      </w:r>
      <w:r>
        <w:rPr>
          <w:rFonts w:ascii="Arial" w:cs="Arial" w:eastAsia="Arial" w:hAnsi="Arial"/>
          <w:sz w:val="16"/>
          <w:szCs w:val="16"/>
          <w:color w:val="auto"/>
        </w:rPr>
        <w:t>(iii) with respect to all Mid-Market Loan Assets, is greater than 4.75:1.00, shall not exceed 20% of the Concentration Test Amount;</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20"/>
          </w:cols>
          <w:pgMar w:left="900" w:top="273" w:right="479" w:bottom="1440" w:gutter="0" w:footer="0" w:header="0"/>
        </w:sectPr>
      </w:pPr>
    </w:p>
    <w:bookmarkStart w:id="80" w:name="page81"/>
    <w:bookmarkEnd w:id="80"/>
    <w:p>
      <w:pPr>
        <w:jc w:val="both"/>
        <w:ind w:left="440" w:right="80" w:firstLine="421"/>
        <w:spacing w:after="0" w:line="262" w:lineRule="auto"/>
        <w:tabs>
          <w:tab w:leader="none" w:pos="1115"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sum of Outstanding Loan Balances of all Eligible Loan Assets (other than Broadly Syndicated Loan Assets, Asset Based Loans and Healthcare Loan Assets) for which the Total Debt/EBITDA Ratio of the related Obligor is greater than 6.00:1.00 (“</w:t>
      </w:r>
      <w:r>
        <w:rPr>
          <w:rFonts w:ascii="Arial" w:cs="Arial" w:eastAsia="Arial" w:hAnsi="Arial"/>
          <w:sz w:val="18"/>
          <w:szCs w:val="18"/>
          <w:u w:val="single" w:color="auto"/>
          <w:color w:val="auto"/>
        </w:rPr>
        <w:t>High Leverage Loan Assets</w:t>
      </w:r>
      <w:r>
        <w:rPr>
          <w:rFonts w:ascii="Arial" w:cs="Arial" w:eastAsia="Arial" w:hAnsi="Arial"/>
          <w:sz w:val="18"/>
          <w:szCs w:val="18"/>
          <w:color w:val="auto"/>
        </w:rPr>
        <w:t>”), shall not exceed 20% of the Concentration Test Amount;</w:t>
      </w:r>
    </w:p>
    <w:p>
      <w:pPr>
        <w:spacing w:after="0" w:line="74" w:lineRule="exact"/>
        <w:rPr>
          <w:rFonts w:ascii="Arial" w:cs="Arial" w:eastAsia="Arial" w:hAnsi="Arial"/>
          <w:sz w:val="18"/>
          <w:szCs w:val="18"/>
          <w:color w:val="auto"/>
        </w:rPr>
      </w:pPr>
    </w:p>
    <w:p>
      <w:pPr>
        <w:ind w:left="440" w:right="180" w:firstLine="421"/>
        <w:spacing w:after="0" w:line="262" w:lineRule="auto"/>
        <w:tabs>
          <w:tab w:leader="none" w:pos="11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Outstanding Loan Balances of all Eligible Loan Assets (other than First Lien Broadly Syndicated Loan Assets, Asset Based Loans and Healthcare Loan Assets) for which the EBITDA of the related Obligor is less than $15,000,000 shall not exceed 5% of the Concentration Test Amount;</w:t>
      </w:r>
    </w:p>
    <w:p>
      <w:pPr>
        <w:spacing w:after="0" w:line="74" w:lineRule="exact"/>
        <w:rPr>
          <w:rFonts w:ascii="Arial" w:cs="Arial" w:eastAsia="Arial" w:hAnsi="Arial"/>
          <w:sz w:val="18"/>
          <w:szCs w:val="18"/>
          <w:color w:val="auto"/>
        </w:rPr>
      </w:pPr>
    </w:p>
    <w:p>
      <w:pPr>
        <w:ind w:left="440" w:right="140" w:firstLine="421"/>
        <w:spacing w:after="0" w:line="275" w:lineRule="auto"/>
        <w:tabs>
          <w:tab w:leader="none" w:pos="11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Outstanding Loan Balances of all HLT Loan Assets that are Eligible Loan Assets shall not exceed 15% of the Concentration Test Amount;</w:t>
      </w:r>
    </w:p>
    <w:p>
      <w:pPr>
        <w:spacing w:after="0" w:line="63" w:lineRule="exact"/>
        <w:rPr>
          <w:rFonts w:ascii="Arial" w:cs="Arial" w:eastAsia="Arial" w:hAnsi="Arial"/>
          <w:sz w:val="18"/>
          <w:szCs w:val="18"/>
          <w:color w:val="auto"/>
        </w:rPr>
      </w:pPr>
    </w:p>
    <w:p>
      <w:pPr>
        <w:ind w:left="440" w:right="900" w:firstLine="421"/>
        <w:spacing w:after="0" w:line="275" w:lineRule="auto"/>
        <w:tabs>
          <w:tab w:leader="none" w:pos="11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Outstanding Loan Balances of all Cov-Lite Loan Assets that are Eligible Loan Assets shall not exceed 25% of the Concentration Test Amount;</w:t>
      </w:r>
    </w:p>
    <w:p>
      <w:pPr>
        <w:spacing w:after="0" w:line="63" w:lineRule="exact"/>
        <w:rPr>
          <w:rFonts w:ascii="Arial" w:cs="Arial" w:eastAsia="Arial" w:hAnsi="Arial"/>
          <w:sz w:val="18"/>
          <w:szCs w:val="18"/>
          <w:color w:val="auto"/>
        </w:rPr>
      </w:pPr>
    </w:p>
    <w:p>
      <w:pPr>
        <w:ind w:left="440" w:right="660" w:firstLine="421"/>
        <w:spacing w:after="0" w:line="275" w:lineRule="auto"/>
        <w:tabs>
          <w:tab w:leader="none" w:pos="10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Outstanding Loan Balances of all Healthcare Loan Assets that are Eligible Loan Assets shall not exceed 25.0% of the Concentration Test Amount; and</w:t>
      </w:r>
    </w:p>
    <w:p>
      <w:pPr>
        <w:spacing w:after="0" w:line="63" w:lineRule="exact"/>
        <w:rPr>
          <w:rFonts w:ascii="Arial" w:cs="Arial" w:eastAsia="Arial" w:hAnsi="Arial"/>
          <w:sz w:val="18"/>
          <w:szCs w:val="18"/>
          <w:color w:val="auto"/>
        </w:rPr>
      </w:pPr>
    </w:p>
    <w:p>
      <w:pPr>
        <w:ind w:left="440" w:right="60" w:firstLine="421"/>
        <w:spacing w:after="0" w:line="275" w:lineRule="auto"/>
        <w:tabs>
          <w:tab w:leader="none" w:pos="10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sum of Outstanding Loan Balances of all Asset Based Loans that are Eligible Loan Assets shall not exceed 15% of the Concentration Test Amount.</w:t>
      </w:r>
    </w:p>
    <w:p>
      <w:pPr>
        <w:spacing w:after="0" w:line="171" w:lineRule="exact"/>
        <w:rPr>
          <w:sz w:val="20"/>
          <w:szCs w:val="20"/>
          <w:color w:val="auto"/>
        </w:rPr>
      </w:pPr>
    </w:p>
    <w:p>
      <w:pPr>
        <w:ind w:right="2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Concentration Test Amount</w:t>
      </w:r>
      <w:r>
        <w:rPr>
          <w:rFonts w:ascii="Arial" w:cs="Arial" w:eastAsia="Arial" w:hAnsi="Arial"/>
          <w:sz w:val="18"/>
          <w:szCs w:val="18"/>
          <w:color w:val="auto"/>
        </w:rPr>
        <w:t>” means (i) at all times prior to the earlier of (x) the date on which AOLB equals or exceeds $200,000,000, and (y) June 30, 2015, $200,000,000, and (ii) at all times thereafter, the AOLB.</w:t>
      </w:r>
    </w:p>
    <w:p>
      <w:pPr>
        <w:spacing w:after="0" w:line="171" w:lineRule="exact"/>
        <w:rPr>
          <w:sz w:val="20"/>
          <w:szCs w:val="20"/>
          <w:color w:val="auto"/>
        </w:rPr>
      </w:pPr>
    </w:p>
    <w:p>
      <w:pPr>
        <w:ind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Conduit Lender</w:t>
      </w:r>
      <w:r>
        <w:rPr>
          <w:rFonts w:ascii="Arial" w:cs="Arial" w:eastAsia="Arial" w:hAnsi="Arial"/>
          <w:sz w:val="16"/>
          <w:szCs w:val="16"/>
          <w:color w:val="auto"/>
        </w:rPr>
        <w:t xml:space="preserve">” each of the Citi Conduits and each other commercial paper conduit that may from time to time become a Conduit Lender hereunder by executing and delivering a Joinder Supplement to the Administrative Agent and the Borrower as contemplated by </w:t>
      </w:r>
      <w:r>
        <w:rPr>
          <w:rFonts w:ascii="Arial" w:cs="Arial" w:eastAsia="Arial" w:hAnsi="Arial"/>
          <w:sz w:val="16"/>
          <w:szCs w:val="16"/>
          <w:u w:val="single" w:color="auto"/>
          <w:color w:val="auto"/>
        </w:rPr>
        <w:t>Section 12.04(a)</w:t>
      </w:r>
      <w:r>
        <w:rPr>
          <w:rFonts w:ascii="Arial" w:cs="Arial" w:eastAsia="Arial" w:hAnsi="Arial"/>
          <w:sz w:val="16"/>
          <w:szCs w:val="16"/>
          <w:color w:val="auto"/>
        </w:rPr>
        <w:t>.</w:t>
      </w:r>
    </w:p>
    <w:p>
      <w:pPr>
        <w:spacing w:after="0" w:line="125" w:lineRule="exact"/>
        <w:rPr>
          <w:sz w:val="20"/>
          <w:szCs w:val="20"/>
          <w:color w:val="auto"/>
        </w:rPr>
      </w:pPr>
    </w:p>
    <w:p>
      <w:pPr>
        <w:ind w:right="56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 Agreement</w:t>
      </w:r>
      <w:r>
        <w:rPr>
          <w:rFonts w:ascii="Arial" w:cs="Arial" w:eastAsia="Arial" w:hAnsi="Arial"/>
          <w:sz w:val="16"/>
          <w:szCs w:val="16"/>
          <w:color w:val="auto"/>
        </w:rPr>
        <w:t>” means that certain Contribution Agreement, dated as of the Closing Date, between the Transferor, as the contributor, and the Borrower, as the contributee, as amended, modified, waived, supplemented, restated or replaced from time to time”</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Funding Period</w:t>
      </w:r>
      <w:r>
        <w:rPr>
          <w:rFonts w:ascii="Arial" w:cs="Arial" w:eastAsia="Arial" w:hAnsi="Arial"/>
          <w:sz w:val="18"/>
          <w:szCs w:val="18"/>
          <w:color w:val="auto"/>
        </w:rPr>
        <w:t>” means any period in the Revolving Period other than during a Delayed Funding Period.</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Lender</w:t>
      </w:r>
      <w:r>
        <w:rPr>
          <w:rFonts w:ascii="Arial" w:cs="Arial" w:eastAsia="Arial" w:hAnsi="Arial"/>
          <w:sz w:val="18"/>
          <w:szCs w:val="18"/>
          <w:color w:val="auto"/>
        </w:rPr>
        <w:t>” means a Committed Lender other than a Delayed Funding Lender.</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Conforming Lender Group</w:t>
      </w:r>
      <w:r>
        <w:rPr>
          <w:rFonts w:ascii="Arial" w:cs="Arial" w:eastAsia="Arial" w:hAnsi="Arial"/>
          <w:sz w:val="18"/>
          <w:szCs w:val="18"/>
          <w:color w:val="auto"/>
        </w:rPr>
        <w:t>” means a Lender Group other than a Delayed Funding Lender Group.</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3" w:right="479" w:bottom="1440" w:gutter="0" w:footer="0" w:header="0"/>
        </w:sectPr>
      </w:pPr>
    </w:p>
    <w:bookmarkStart w:id="81" w:name="page82"/>
    <w:bookmarkEnd w:id="81"/>
    <w:p>
      <w:pPr>
        <w:ind w:right="26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w:t>
      </w:r>
    </w:p>
    <w:p>
      <w:pPr>
        <w:spacing w:after="0" w:line="171" w:lineRule="exact"/>
        <w:rPr>
          <w:sz w:val="20"/>
          <w:szCs w:val="20"/>
          <w:color w:val="auto"/>
        </w:rPr>
      </w:pPr>
    </w:p>
    <w:p>
      <w:pPr>
        <w:ind w:right="46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8" w:lineRule="exact"/>
        <w:rPr>
          <w:sz w:val="20"/>
          <w:szCs w:val="20"/>
          <w:color w:val="auto"/>
        </w:rPr>
      </w:pPr>
    </w:p>
    <w:p>
      <w:pPr>
        <w:ind w:right="5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Cov-Lite Loan Asset</w:t>
      </w:r>
      <w:r>
        <w:rPr>
          <w:rFonts w:ascii="Arial" w:cs="Arial" w:eastAsia="Arial" w:hAnsi="Arial"/>
          <w:sz w:val="18"/>
          <w:szCs w:val="18"/>
          <w:color w:val="auto"/>
        </w:rPr>
        <w:t>” means a First Lien Loan Asset that is a Broadly Syndicated Loan Asset that does not contain any financial maintenance covenants other than incurrence covenants.</w:t>
      </w:r>
    </w:p>
    <w:p>
      <w:pPr>
        <w:spacing w:after="0" w:line="171"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Party</w:t>
      </w:r>
      <w:r>
        <w:rPr>
          <w:rFonts w:ascii="Arial" w:cs="Arial" w:eastAsia="Arial" w:hAnsi="Arial"/>
          <w:sz w:val="18"/>
          <w:szCs w:val="18"/>
          <w:color w:val="auto"/>
        </w:rPr>
        <w:t>” means any Secured Party that is one of the following: (i) a “covered entity” as that term is defined in, and interpreted in accordance with, 12 C.F.R. §252.82(b); (ii) a “covered bank” as that term is defined in, and interpreted in accordance with, 12 C.F.R. §47.3(b), or any subsidiary of such a covered bank to which 12 C.F.R. Part 47 applies in accordance with 12 C.F.R. §47.3(b); or (iii) a “covered FSI” as that term is defined in, and interpreted in accordance with, 12 C.F.R. §382.2(b).</w:t>
      </w:r>
    </w:p>
    <w:p>
      <w:pPr>
        <w:spacing w:after="0" w:line="185" w:lineRule="exact"/>
        <w:rPr>
          <w:sz w:val="20"/>
          <w:szCs w:val="20"/>
          <w:color w:val="auto"/>
        </w:rPr>
      </w:pPr>
    </w:p>
    <w:p>
      <w:pPr>
        <w:ind w:right="40" w:firstLine="98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 Cost of Funds Rate</w:t>
      </w:r>
      <w:r>
        <w:rPr>
          <w:rFonts w:ascii="Arial" w:cs="Arial" w:eastAsia="Arial" w:hAnsi="Arial"/>
          <w:sz w:val="16"/>
          <w:szCs w:val="16"/>
          <w:color w:val="auto"/>
        </w:rPr>
        <w:t>” means, with respect to each Conduit Lender for any day during any Remittance Period, the per annum rate equivalent to the weighted average of the per annum rates paid or payable by such Conduit Lender from time to time as interest on or otherwise (by means of interest rate hedges or otherwise) that are allocated on a fair and equitable basis, in whole or in part, by their respective Lender Agent (on behalf of such Conduit Lender), which rates shall reflect and give effect to (in each case, to the extent such costs are allocated, in whole or in part, to such commercial paper notes by the related Lender Agent (on behalf of such Conduit Lender) (a) the commissions of placement agents and dealers in respect of such commercial paper notes, (b) all reasonable costs and expenses of any issuing and paying agent or other person responsible for the administration of such Conduit Lender’s commercial paper programs in connection with the preparation, completion, issuance, delivery or payment of such commercial paper, and (c) any other costs, fees and expenses associated with the funding or maintenance of the applicable cp tranche by such Conduit Lender, including any liquidity support, credit enhancement, government sponsored funding programs (including the Federal Reserve Bank’s Commercial Paper Funding Facility), or any other borrowings by such Conduit Lender including, without limitation, borrowings to fund small or odd dollar amounts that are not easily accommodated in the commercial paper market; provided, however, that if any component of such rate is a discount rate, in calculating the CP Cost of Funds Rate, the respective Lender Agent for such Conduit Lender shall for such component use the rate resulting from converting such discount rate to an interest bearing equivalent rate per annum.</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CQT Non-Qualification Period</w:t>
      </w:r>
      <w:r>
        <w:rPr>
          <w:rFonts w:ascii="Arial" w:cs="Arial" w:eastAsia="Arial" w:hAnsi="Arial"/>
          <w:sz w:val="18"/>
          <w:szCs w:val="18"/>
          <w:color w:val="auto"/>
        </w:rPr>
        <w:t>” means any period of time during which any Collateral Quality Test is not satisfied.</w:t>
      </w:r>
    </w:p>
    <w:p>
      <w:pPr>
        <w:spacing w:after="0" w:line="223"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and Collection Policy</w:t>
      </w:r>
      <w:r>
        <w:rPr>
          <w:rFonts w:ascii="Arial" w:cs="Arial" w:eastAsia="Arial" w:hAnsi="Arial"/>
          <w:sz w:val="18"/>
          <w:szCs w:val="18"/>
          <w:color w:val="auto"/>
        </w:rPr>
        <w:t xml:space="preserve">” means the Credit and Collection Policy of the Servicer pursuant to which the Servicing Standard has been established and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20"/>
          </w:cols>
          <w:pgMar w:left="460" w:top="273" w:right="619" w:bottom="1440" w:gutter="0" w:footer="0" w:header="0"/>
        </w:sectPr>
      </w:pPr>
    </w:p>
    <w:bookmarkStart w:id="82" w:name="page83"/>
    <w:bookmarkEnd w:id="8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Cure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2.07(e)</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Dollars and each Foreign Currency.</w:t>
      </w:r>
    </w:p>
    <w:p>
      <w:pPr>
        <w:spacing w:after="0" w:line="223" w:lineRule="exact"/>
        <w:rPr>
          <w:sz w:val="20"/>
          <w:szCs w:val="20"/>
          <w:color w:val="auto"/>
        </w:rPr>
      </w:pPr>
    </w:p>
    <w:p>
      <w:pPr>
        <w:ind w:right="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Cut-Off Date</w:t>
      </w:r>
      <w:r>
        <w:rPr>
          <w:rFonts w:ascii="Arial" w:cs="Arial" w:eastAsia="Arial" w:hAnsi="Arial"/>
          <w:sz w:val="18"/>
          <w:szCs w:val="18"/>
          <w:color w:val="auto"/>
        </w:rPr>
        <w:t xml:space="preserve">” means, with respect to each Loan Asset, the date such Loan Asset is Pledged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an Advance based on a Borrowing Base including such Loan Asset is funded hereunder.</w:t>
      </w:r>
    </w:p>
    <w:p>
      <w:pPr>
        <w:spacing w:after="0" w:line="171" w:lineRule="exact"/>
        <w:rPr>
          <w:sz w:val="20"/>
          <w:szCs w:val="20"/>
          <w:color w:val="auto"/>
        </w:rPr>
      </w:pPr>
    </w:p>
    <w:p>
      <w:pPr>
        <w:ind w:firstLine="98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LIBOR</w:t>
      </w:r>
      <w:r>
        <w:rPr>
          <w:rFonts w:ascii="Arial" w:cs="Arial" w:eastAsia="Arial" w:hAnsi="Arial"/>
          <w:sz w:val="16"/>
          <w:szCs w:val="16"/>
          <w:color w:val="auto"/>
        </w:rPr>
        <w:t xml:space="preserve">” means, for any day during the Remittance Period (i) with respect to any Advance (or portion thereof) other than a Fixed LIBOR Advance denominated in any Currency other than Canadian Dollars or Euros, (a) the rate per annum equal to the London interbank offered rate as administered by the ICE Benchmark Administration (or any other person that takes over the administration of such rate) appearing on the Reuters page that displays such rate (such page currently being the LIBOR01 page) or on any successor or replacement for such service at approximately 11:00 a.m., London time, for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if such day is not a Business Day, the immediately preceding Business Day, for a one-month (or, with respect to any Foreign Currency Advance, a three-month) maturity; and (b) if no rate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so appears on Reuters Screen LIBOR01 Page (or any successor or substitute page), the interest rate per annum at which Dollar deposits of $5,000,000 and for a three-month maturity are offered by the principal London office of Citibank in immediately available funds in the London interbank market at approximately 11:00 a.m., London time, for such day, (ii) with respect to any Advance other than a Fixed LIBOR Advance denominated in Canadian Dollars, the CDOR Rate on such day for a three-month maturity and (iii) with respect to any Advance other than a Fixed LIBOR Advance denominated in Euros, the EURIBOR Rate on such day for a three-month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Daily LIBOR equal less than 0%.</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LIBOR Advance</w:t>
      </w:r>
      <w:r>
        <w:rPr>
          <w:rFonts w:ascii="Arial" w:cs="Arial" w:eastAsia="Arial" w:hAnsi="Arial"/>
          <w:sz w:val="18"/>
          <w:szCs w:val="18"/>
          <w:color w:val="auto"/>
        </w:rPr>
        <w:t>” means an Advance to which the Daily LIBOR is applicable.</w:t>
      </w:r>
    </w:p>
    <w:p>
      <w:pPr>
        <w:spacing w:after="0" w:line="223" w:lineRule="exact"/>
        <w:rPr>
          <w:sz w:val="20"/>
          <w:szCs w:val="20"/>
          <w:color w:val="auto"/>
        </w:rPr>
      </w:pPr>
    </w:p>
    <w:p>
      <w:pPr>
        <w:ind w:right="120" w:firstLine="987"/>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Simple SOFR</w:t>
      </w:r>
      <w:r>
        <w:rPr>
          <w:rFonts w:ascii="Arial" w:cs="Arial" w:eastAsia="Arial" w:hAnsi="Arial"/>
          <w:sz w:val="16"/>
          <w:szCs w:val="16"/>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w:t>
      </w:r>
      <w:r>
        <w:rPr>
          <w:rFonts w:ascii="Arial" w:cs="Arial" w:eastAsia="Arial" w:hAnsi="Arial"/>
          <w:sz w:val="18"/>
          <w:szCs w:val="18"/>
          <w:color w:val="auto"/>
        </w:rPr>
        <w:t>” means DBRS, Inc. (or its successors in interest).</w:t>
      </w:r>
    </w:p>
    <w:p>
      <w:pPr>
        <w:spacing w:after="0" w:line="223"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Excess</w:t>
      </w:r>
      <w:r>
        <w:rPr>
          <w:rFonts w:ascii="Arial" w:cs="Arial" w:eastAsia="Arial" w:hAnsi="Arial"/>
          <w:sz w:val="18"/>
          <w:szCs w:val="18"/>
          <w:color w:val="auto"/>
        </w:rPr>
        <w:t xml:space="preserve">” means, with respect to any Defaulting Lender Group, an amount equal to (i) such Defaulting Lender Group’s Pro Rata Share of Advances Outstanding (calculated as if all Defaulting Lenders (including the Defaulting Lenders of such Defaulting Lender Group) had funded all of their respective Advances, including Advances not funded by such Defaulting Lender which resulted in such Defaulted Lender being deemed a Defaulting Lender and part of a Defaulting Lender Group),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aggregate outstanding principal amount of Advances Outstanding of such Defaulting Lender Group.</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60" w:top="273" w:right="519" w:bottom="1440" w:gutter="0" w:footer="0" w:header="0"/>
        </w:sectPr>
      </w:pPr>
    </w:p>
    <w:bookmarkStart w:id="83" w:name="page84"/>
    <w:bookmarkEnd w:id="83"/>
    <w:p>
      <w:pPr>
        <w:ind w:right="60" w:firstLine="987"/>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Default Period</w:t>
      </w:r>
      <w:r>
        <w:rPr>
          <w:rFonts w:ascii="Arial" w:cs="Arial" w:eastAsia="Arial" w:hAnsi="Arial"/>
          <w:sz w:val="17"/>
          <w:szCs w:val="17"/>
          <w:color w:val="auto"/>
        </w:rPr>
        <w:t xml:space="preserve">” means, with respect to any Defaulting Lender Group, the period commencing on the date of the applicable Funding Default and ending on the earliest of the following dates: (i) the date on which all Commitments are cancelled or terminated or the Obligations are declared or become immediately due and payable; (ii) with respect to any Funding Default (other than any such Funding Default arising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the definition of Defaulting Lender), the date on which (A) the Default Excess with respect to such Defaulting Lender Group has been reduced to zero (whether by the funding by such Defaulting Lender Group of all payments resulting in such Funding Default of such Defaulting Lender, the non-pro rata application of any voluntary or mandatory prepayments of the Loans in accordance with the terms of this Agreement, or any combination thereof) and (B) such Defaulting Lender has delivered to the Administrative Agent a written reaffirmation of its intention to honor its obligations under this Agreement with respect to its Commitment; and (iii) the date on which the Borrower, the Administrative Agent, and the Majority Lenders waive all Funding Defaults of such Defaulting Lender in writing.</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08"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Liquidity Bank or Institutional Lender, as determined by the Administrative Agent, that (i) fails to make available its ratable share of any Advance as required to be funded under </w:t>
      </w:r>
      <w:r>
        <w:rPr>
          <w:rFonts w:ascii="Arial" w:cs="Arial" w:eastAsia="Arial" w:hAnsi="Arial"/>
          <w:sz w:val="16"/>
          <w:szCs w:val="16"/>
          <w:u w:val="single" w:color="auto"/>
          <w:color w:val="auto"/>
        </w:rPr>
        <w:t>Section 2.02(b)</w:t>
      </w:r>
      <w:r>
        <w:rPr>
          <w:rFonts w:ascii="Arial" w:cs="Arial" w:eastAsia="Arial" w:hAnsi="Arial"/>
          <w:sz w:val="16"/>
          <w:szCs w:val="16"/>
          <w:color w:val="auto"/>
        </w:rPr>
        <w:t xml:space="preserve"> or fails to make any other payment or provide funds to the Administrative Agent as required under this Agreement, and such failure is not cured within two Business Days; (ii) has notified the Administrative Agent, the Borrower or the Servicer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(unless such notification or statement is based exclusively on such Liquidity Bank’s or Institutional Lender’s good faith assertion that a condition precedent to funding has not or cannot be satisfied); (iii) has failed, within two Business Days after request by the Administrative Agent, to confirm that it will comply with the terms of this Agreement relating to its obligations to fund Advances under this Agreement; or (iv) becomes, or has a parent company that becomes, the subject of any Bankruptcy Event or Undisclosed Administration;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Liquidity Bank or Institutional Lender shall not become a Defaulting Lender solely as a result of the acquisition or maintenance of an ownership interest in such Liquidity Bank or Institutional Lender or Person controlling such Liquidity Bank or Institutional Lender or the exercise of control over a Lender or Person controlling such Lender by a Governmental Authority or an instrumentality thereof, so long as such ownership interest does not result in or provide such Liquidity Bank or Institutional Lender with immunity from the jurisdiction of courts within the United States or from the enforcement of judgments or writs of attachment on its assets or permit such Liquidity Bank or Institutional Lender (or such Governmental Authority) to reject, repudiate, disavow or disaffirm any contracts or agreements made with such Liquidity Bank or Institutional Lender.</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 Group</w:t>
      </w:r>
      <w:r>
        <w:rPr>
          <w:rFonts w:ascii="Arial" w:cs="Arial" w:eastAsia="Arial" w:hAnsi="Arial"/>
          <w:sz w:val="18"/>
          <w:szCs w:val="18"/>
          <w:color w:val="auto"/>
        </w:rPr>
        <w:t>” means any Lender Group that includes a Defaulting Lender.</w:t>
      </w:r>
    </w:p>
    <w:p>
      <w:pPr>
        <w:spacing w:after="0" w:line="223" w:lineRule="exact"/>
        <w:rPr>
          <w:sz w:val="20"/>
          <w:szCs w:val="20"/>
          <w:color w:val="auto"/>
        </w:rPr>
      </w:pPr>
    </w:p>
    <w:p>
      <w:pPr>
        <w:ind w:right="3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Commitment</w:t>
      </w:r>
      <w:r>
        <w:rPr>
          <w:rFonts w:ascii="Arial" w:cs="Arial" w:eastAsia="Arial" w:hAnsi="Arial"/>
          <w:sz w:val="18"/>
          <w:szCs w:val="18"/>
          <w:color w:val="auto"/>
        </w:rPr>
        <w:t xml:space="preserve">” means, with respect to each Liquidity Bank and Institutional Lender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(with the consent of the Administrative Agent, such consent not to be unreasonably withheld) as providing a “Delayed Draw Commitment”, (i) prior to the Delayed Draw Trigger Date, $0, (ii) on and following the Delayed Draw Trigger Date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60" w:top="273" w:right="479" w:bottom="1440" w:gutter="0" w:footer="0" w:header="0"/>
        </w:sectPr>
      </w:pPr>
    </w:p>
    <w:bookmarkStart w:id="84" w:name="page85"/>
    <w:bookmarkEnd w:id="84"/>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prior to the end of the Revolving Period, the Dollar amount set forth opposite such Liquidity Bank’s or Institutional Lender’s name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(as such amount may be revised from time to time in accordance with the terms hereof) as a “Delayed Draw Commitment” or the amount set forth as such Liquidity Bank’s or Institutional Lender’s “Commitment” on Schedule I to the Joinder Supplement relating to such Liquidity Bank or Institutional Lender, as applicable as a “Delayed Draw Commitment”, and (iii) after the Revolving Period, such Liquidity Bank’s or Institutional Lenders’ Pro Rata Share of the aggregate Advances Outstanding. For avoidance of doubt, all drawings under the Delayed Draw Commitment shall be made on a pro rata basis.</w:t>
      </w:r>
    </w:p>
    <w:p>
      <w:pPr>
        <w:spacing w:after="0" w:line="191" w:lineRule="exact"/>
        <w:rPr>
          <w:sz w:val="20"/>
          <w:szCs w:val="20"/>
          <w:color w:val="auto"/>
        </w:rPr>
      </w:pPr>
    </w:p>
    <w:p>
      <w:pPr>
        <w:ind w:right="5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 Lender</w:t>
      </w:r>
      <w:r>
        <w:rPr>
          <w:rFonts w:ascii="Arial" w:cs="Arial" w:eastAsia="Arial" w:hAnsi="Arial"/>
          <w:sz w:val="18"/>
          <w:szCs w:val="18"/>
          <w:color w:val="auto"/>
        </w:rPr>
        <w:t xml:space="preserve">” means each Liquidity Bank or Institutional Lender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from time to time as having a Delayed Draw Commitment.</w:t>
      </w:r>
    </w:p>
    <w:p>
      <w:pPr>
        <w:spacing w:after="0" w:line="171" w:lineRule="exact"/>
        <w:rPr>
          <w:sz w:val="20"/>
          <w:szCs w:val="20"/>
          <w:color w:val="auto"/>
        </w:rPr>
      </w:pPr>
    </w:p>
    <w:p>
      <w:pPr>
        <w:jc w:val="both"/>
        <w:ind w:right="80" w:firstLine="98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Trigger Date</w:t>
      </w:r>
      <w:r>
        <w:rPr>
          <w:rFonts w:ascii="Arial" w:cs="Arial" w:eastAsia="Arial" w:hAnsi="Arial"/>
          <w:sz w:val="16"/>
          <w:szCs w:val="16"/>
          <w:color w:val="auto"/>
        </w:rPr>
        <w:t xml:space="preserve">” means a date, if any, during the Revolving Period that is declared by the Borrower in a written notice to the Administrative Agent and the Lender Agents to constitute the “Delayed Draw Trigger Date”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the Delayed Draw Trigger Date must be declared by the Borrower to occur no later than March 3, 2014, or the Delayed Draw Commitment shall terminate as of such date.</w:t>
      </w:r>
    </w:p>
    <w:p>
      <w:pPr>
        <w:spacing w:after="0" w:line="147" w:lineRule="exact"/>
        <w:rPr>
          <w:sz w:val="20"/>
          <w:szCs w:val="20"/>
          <w:color w:val="auto"/>
        </w:rPr>
      </w:pPr>
    </w:p>
    <w:p>
      <w:pPr>
        <w:ind w:right="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Advance Amount</w:t>
      </w:r>
      <w:r>
        <w:rPr>
          <w:rFonts w:ascii="Arial" w:cs="Arial" w:eastAsia="Arial" w:hAnsi="Arial"/>
          <w:sz w:val="18"/>
          <w:szCs w:val="18"/>
          <w:color w:val="auto"/>
        </w:rPr>
        <w:t xml:space="preserve">” means the amount of the Advance that a Delayed Funding Lender Group was requested to fund in a Notice and was not funded on the related Delayed Funding Date as a result of the provisions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with respect to Delayed Funding Lenders.</w:t>
      </w:r>
    </w:p>
    <w:p>
      <w:pPr>
        <w:spacing w:after="0" w:line="182" w:lineRule="exact"/>
        <w:rPr>
          <w:sz w:val="20"/>
          <w:szCs w:val="20"/>
          <w:color w:val="auto"/>
        </w:rPr>
      </w:pPr>
    </w:p>
    <w:p>
      <w:pPr>
        <w:ind w:right="3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Amounts</w:t>
      </w:r>
      <w:r>
        <w:rPr>
          <w:rFonts w:ascii="Arial" w:cs="Arial" w:eastAsia="Arial" w:hAnsi="Arial"/>
          <w:sz w:val="18"/>
          <w:szCs w:val="18"/>
          <w:color w:val="auto"/>
        </w:rPr>
        <w:t xml:space="preserve">” means, as of any date of determination, the aggregate amount of all Delayed Funding Advance Amounts then outstanding and not yet funded pursuant to </w:t>
      </w:r>
      <w:r>
        <w:rPr>
          <w:rFonts w:ascii="Arial" w:cs="Arial" w:eastAsia="Arial" w:hAnsi="Arial"/>
          <w:sz w:val="18"/>
          <w:szCs w:val="18"/>
          <w:u w:val="single" w:color="auto"/>
          <w:color w:val="auto"/>
        </w:rPr>
        <w:t>Section 2.02(g)(ii)</w:t>
      </w:r>
      <w:r>
        <w:rPr>
          <w:rFonts w:ascii="Arial" w:cs="Arial" w:eastAsia="Arial" w:hAnsi="Arial"/>
          <w:sz w:val="18"/>
          <w:szCs w:val="18"/>
          <w:color w:val="auto"/>
        </w:rPr>
        <w:t>.</w:t>
      </w:r>
    </w:p>
    <w:p>
      <w:pPr>
        <w:spacing w:after="0" w:line="171"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Certificate</w:t>
      </w:r>
      <w:r>
        <w:rPr>
          <w:rFonts w:ascii="Arial" w:cs="Arial" w:eastAsia="Arial" w:hAnsi="Arial"/>
          <w:sz w:val="18"/>
          <w:szCs w:val="18"/>
          <w:color w:val="auto"/>
        </w:rPr>
        <w:t>” means an Officer’s Certificate delivered by a Lender Agent to the Administrative Agent certifying that a Lender in (or an Affiliate of) such Lender Agent’s Lender Group: (i) is incurring (or expects to incur) charges with respect to its Commitment hereunder in connection with the calculation of the “liquidity coverage ratio” under Basel III, and (ii) is in good faith seeking to exercise or has exercised a delayed funding option in transactions similar to the transactions contemplated hereunder.</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Date</w:t>
      </w:r>
      <w:r>
        <w:rPr>
          <w:rFonts w:ascii="Arial" w:cs="Arial" w:eastAsia="Arial" w:hAnsi="Arial"/>
          <w:sz w:val="18"/>
          <w:szCs w:val="18"/>
          <w:color w:val="auto"/>
        </w:rPr>
        <w:t>” means an Advance Date during a Delayed Funding Period.</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De-Designation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2.02(g)(i)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De-Designation Notice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2.02(g)(i)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Funding Lender</w:t>
      </w:r>
      <w:r>
        <w:rPr>
          <w:rFonts w:ascii="Arial" w:cs="Arial" w:eastAsia="Arial" w:hAnsi="Arial"/>
          <w:sz w:val="16"/>
          <w:szCs w:val="16"/>
          <w:color w:val="auto"/>
        </w:rPr>
        <w:t xml:space="preserve">” means a Committed Lender that delivers a Delayed Funding Certificate in accordance with to </w:t>
      </w:r>
      <w:r>
        <w:rPr>
          <w:rFonts w:ascii="Arial" w:cs="Arial" w:eastAsia="Arial" w:hAnsi="Arial"/>
          <w:sz w:val="16"/>
          <w:szCs w:val="16"/>
          <w:u w:val="single" w:color="auto"/>
          <w:color w:val="auto"/>
        </w:rPr>
        <w:t>Section 2.02(g)</w:t>
      </w:r>
      <w:r>
        <w:rPr>
          <w:rFonts w:ascii="Arial" w:cs="Arial" w:eastAsia="Arial" w:hAnsi="Arial"/>
          <w:sz w:val="16"/>
          <w:szCs w:val="16"/>
          <w:color w:val="auto"/>
        </w:rPr>
        <w:t>.</w:t>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Lender Agent</w:t>
      </w:r>
      <w:r>
        <w:rPr>
          <w:rFonts w:ascii="Arial" w:cs="Arial" w:eastAsia="Arial" w:hAnsi="Arial"/>
          <w:sz w:val="18"/>
          <w:szCs w:val="18"/>
          <w:color w:val="auto"/>
        </w:rPr>
        <w:t>” means the Lender Agent of a Delayed Funding Lender Group.</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60" w:top="273" w:right="499" w:bottom="1440" w:gutter="0" w:footer="0" w:header="0"/>
        </w:sectPr>
      </w:pPr>
    </w:p>
    <w:bookmarkStart w:id="85" w:name="page86"/>
    <w:bookmarkEnd w:id="8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Delayed Funding Lender Group</w:t>
      </w:r>
      <w:r>
        <w:rPr>
          <w:rFonts w:ascii="Arial" w:cs="Arial" w:eastAsia="Arial" w:hAnsi="Arial"/>
          <w:sz w:val="18"/>
          <w:szCs w:val="18"/>
          <w:color w:val="auto"/>
        </w:rPr>
        <w:t>” means any Lender Group that includes a Delayed Funding Lender.</w:t>
      </w:r>
    </w:p>
    <w:p>
      <w:pPr>
        <w:spacing w:after="0" w:line="223" w:lineRule="exact"/>
        <w:rPr>
          <w:sz w:val="20"/>
          <w:szCs w:val="20"/>
          <w:color w:val="auto"/>
        </w:rPr>
      </w:pPr>
    </w:p>
    <w:p>
      <w:pPr>
        <w:ind w:right="1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Period</w:t>
      </w:r>
      <w:r>
        <w:rPr>
          <w:rFonts w:ascii="Arial" w:cs="Arial" w:eastAsia="Arial" w:hAnsi="Arial"/>
          <w:sz w:val="18"/>
          <w:szCs w:val="18"/>
          <w:color w:val="auto"/>
        </w:rPr>
        <w:t>” means a period in the Revolving Period during which one or more Lender Groups is then currently a Delayed Funding Lender Group.</w:t>
      </w:r>
    </w:p>
    <w:p>
      <w:pPr>
        <w:spacing w:after="0" w:line="171" w:lineRule="exact"/>
        <w:rPr>
          <w:sz w:val="20"/>
          <w:szCs w:val="20"/>
          <w:color w:val="auto"/>
        </w:rPr>
      </w:pPr>
    </w:p>
    <w:p>
      <w:pPr>
        <w:ind w:right="8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Funding Settlement Date</w:t>
      </w:r>
      <w:r>
        <w:rPr>
          <w:rFonts w:ascii="Arial" w:cs="Arial" w:eastAsia="Arial" w:hAnsi="Arial"/>
          <w:sz w:val="18"/>
          <w:szCs w:val="18"/>
          <w:color w:val="auto"/>
        </w:rPr>
        <w:t>” means, with respect to unpaid Delayed Funding Amounts of any Delayed Funding Lender Group, the earlier to occur of (i) a Business Day selected by the applicable Delayed Funding Lender Agent and indicated in its Delayed Funding Certificate that is 35 days (or, if such 35th day is not a Business Day, the immediately following Business Day) from the applicable Delayed Funding Date (even if such date occurs following the end of the Revolving Period); and (ii) the Delayed Funding De-Designation Date applicable to such Delayed Funding Lender Group.</w:t>
      </w:r>
    </w:p>
    <w:p>
      <w:pPr>
        <w:spacing w:after="0" w:line="190" w:lineRule="exact"/>
        <w:rPr>
          <w:sz w:val="20"/>
          <w:szCs w:val="20"/>
          <w:color w:val="auto"/>
        </w:rPr>
      </w:pPr>
    </w:p>
    <w:p>
      <w:pPr>
        <w:ind w:right="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Delinquency Ratio</w:t>
      </w:r>
      <w:r>
        <w:rPr>
          <w:rFonts w:ascii="Arial" w:cs="Arial" w:eastAsia="Arial" w:hAnsi="Arial"/>
          <w:sz w:val="18"/>
          <w:szCs w:val="18"/>
          <w:color w:val="auto"/>
        </w:rPr>
        <w:t xml:space="preserve">” means, as of any Reporting Date, (x) the sum of the Monthly Delinquency Ratio on such Determination Date and for each of the two preceding Determination Dates (or such lesser number as shall have elapsed as of such Reporting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3 (or the corresponding lesser number of Reporting Dates included in the calculations described herein).</w:t>
      </w:r>
    </w:p>
    <w:p>
      <w:pPr>
        <w:spacing w:after="0" w:line="182"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Delinquent Asset</w:t>
      </w:r>
      <w:r>
        <w:rPr>
          <w:rFonts w:ascii="Arial" w:cs="Arial" w:eastAsia="Arial" w:hAnsi="Arial"/>
          <w:sz w:val="18"/>
          <w:szCs w:val="18"/>
          <w:color w:val="auto"/>
        </w:rPr>
        <w:t>”: A Loan Asset that is not a Charged-Off Asset and as to which either of the following has occurred: (i) the Servicer has classified such Loan Asset, as “delinquent” pursuant to the criteria set forth in the Credit and Collection Policy, or (ii) all or any portion of one or more principal or interest payments (other than in respect of default rate interest) under such Loan Asset remains unpaid for at least 60 days from the original due date for such payment (without giving effect to any Servicer Advances thereon).</w:t>
      </w:r>
    </w:p>
    <w:p>
      <w:pPr>
        <w:spacing w:after="0" w:line="185" w:lineRule="exact"/>
        <w:rPr>
          <w:sz w:val="20"/>
          <w:szCs w:val="20"/>
          <w:color w:val="auto"/>
        </w:rPr>
      </w:pPr>
    </w:p>
    <w:p>
      <w:pPr>
        <w:ind w:right="3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Loan Assets</w:t>
      </w:r>
      <w:r>
        <w:rPr>
          <w:rFonts w:ascii="Arial" w:cs="Arial" w:eastAsia="Arial" w:hAnsi="Arial"/>
          <w:sz w:val="18"/>
          <w:szCs w:val="18"/>
          <w:color w:val="auto"/>
        </w:rPr>
        <w:t>” means (i) all First Lien Loan Assets (including First Lien Broadly Syndicated Loan Assets) the Obligor of which is also an obligor under a working capital facility that is secured by priority Liens on certain current assets, including accounts receivable, and (ii) all Second Lien Loan Assets.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last day of each Month.</w:t>
      </w:r>
    </w:p>
    <w:p>
      <w:pPr>
        <w:spacing w:after="0" w:line="223" w:lineRule="exact"/>
        <w:rPr>
          <w:sz w:val="20"/>
          <w:szCs w:val="20"/>
          <w:color w:val="auto"/>
        </w:rPr>
      </w:pPr>
    </w:p>
    <w:p>
      <w:pPr>
        <w:ind w:right="20" w:firstLine="98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DIP Loan</w:t>
      </w:r>
      <w:r>
        <w:rPr>
          <w:rFonts w:ascii="Arial" w:cs="Arial" w:eastAsia="Arial" w:hAnsi="Arial"/>
          <w:sz w:val="16"/>
          <w:szCs w:val="16"/>
          <w:color w:val="auto"/>
        </w:rPr>
        <w:t>” means any Loan Asset to an Obligor that is a Chapter 11 debtor under the Bankruptcy Code which is permitted by the Credit and Collection Policy and also satisfies the following criteria: (a) the Loan Agreement is duly authorized by a final order of the applicable bankruptcy or federal district court under the provisions of subsection (b), (c) or (d) of 11 U.S.C. § 364, (b) the Obligor’s bankruptcy case is still pending as a case under the provisions of Chapter 11 of Title 11 of the Bankruptcy Code and has not been dismissed or converted to a case under the provisions of Chapter 7 of Title 11 of the Bankruptcy Code, (c) the Obligor’s obligations under such Loan Agreement have not been (i) disallowed, in whole or in part, or</w:t>
      </w:r>
    </w:p>
    <w:p>
      <w:pPr>
        <w:spacing w:after="0" w:line="1" w:lineRule="exact"/>
        <w:rPr>
          <w:sz w:val="20"/>
          <w:szCs w:val="20"/>
          <w:color w:val="auto"/>
        </w:rPr>
      </w:pPr>
    </w:p>
    <w:p>
      <w:pPr>
        <w:ind w:firstLine="2"/>
        <w:spacing w:after="0" w:line="293" w:lineRule="auto"/>
        <w:tabs>
          <w:tab w:leader="none" w:pos="2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subordinated, in whole or in part, to the claims or interests of any other Person under the provisions of 11 U.S.C. § 510, (d) the Loan Asset is secured and the liens and security interests granted by the applicable federal bankruptcy or district court in relation to the Loan have not been subordinated, in whole or in part, to the liens or interests of any other lender under the provisions of 11 U.S.C. § 364(d) or otherwise, (e) the Obligor is not in default on its payment obligations under the Loan Asset and (f) neither the Obligor nor any party in interest has filed a Chapter 11 plan with the applicable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60" w:top="273" w:right="479" w:bottom="1440" w:gutter="0" w:footer="0" w:header="0"/>
        </w:sectPr>
      </w:pPr>
    </w:p>
    <w:bookmarkStart w:id="86" w:name="page87"/>
    <w:bookmarkEnd w:id="86"/>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federal bankruptcy or district court that, upon confirmation, would (i) disallow or subordinate the Loan Asset and obligations under the Loan Agreement, in whole or in part, (ii) subordinate, in whole or in part, any lien or security interest granted in connection with such Loan Asset, (iii) fail to provide for the repayment, in full and in cash, of the Loan Asset upon the effective date of such plan or (iv) otherwise impair, in any manner, the claim evidenced by the Loan Asset and related Loan Agreement. For the purposes of this definition, an order is a “final order” if the applicable period for filing a motion to reconsider or notice of appeal in respect of a permanent order authorizing the obligor to obtain credit has lapsed and no such motion or notice has been filed with the applicable federal bankruptcy or district court or the clerk thereof.</w:t>
      </w:r>
    </w:p>
    <w:p>
      <w:pPr>
        <w:spacing w:after="0" w:line="176" w:lineRule="exact"/>
        <w:rPr>
          <w:sz w:val="20"/>
          <w:szCs w:val="20"/>
          <w:color w:val="auto"/>
        </w:rPr>
      </w:pPr>
    </w:p>
    <w:p>
      <w:pPr>
        <w:ind w:right="14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Disbursement Request</w:t>
      </w:r>
      <w:r>
        <w:rPr>
          <w:rFonts w:ascii="Arial" w:cs="Arial" w:eastAsia="Arial" w:hAnsi="Arial"/>
          <w:sz w:val="16"/>
          <w:szCs w:val="16"/>
          <w:color w:val="auto"/>
        </w:rPr>
        <w:t xml:space="preserve">” means a disbursement request from the Borrower to the Administrative Agent and the Collateral Agent in the form attached hereto as </w:t>
      </w:r>
      <w:r>
        <w:rPr>
          <w:rFonts w:ascii="Arial" w:cs="Arial" w:eastAsia="Arial" w:hAnsi="Arial"/>
          <w:sz w:val="16"/>
          <w:szCs w:val="16"/>
          <w:u w:val="single" w:color="auto"/>
          <w:color w:val="auto"/>
        </w:rPr>
        <w:t>Exhibit D-1</w:t>
      </w:r>
      <w:r>
        <w:rPr>
          <w:rFonts w:ascii="Arial" w:cs="Arial" w:eastAsia="Arial" w:hAnsi="Arial"/>
          <w:sz w:val="16"/>
          <w:szCs w:val="16"/>
          <w:color w:val="auto"/>
        </w:rPr>
        <w:t xml:space="preserve"> in connection with a disbursement request from the Principal Collection Account in accordance with </w:t>
      </w:r>
      <w:r>
        <w:rPr>
          <w:rFonts w:ascii="Arial" w:cs="Arial" w:eastAsia="Arial" w:hAnsi="Arial"/>
          <w:sz w:val="16"/>
          <w:szCs w:val="16"/>
          <w:u w:val="single" w:color="auto"/>
          <w:color w:val="auto"/>
        </w:rPr>
        <w:t>Section 2.21</w:t>
      </w:r>
      <w:r>
        <w:rPr>
          <w:rFonts w:ascii="Arial" w:cs="Arial" w:eastAsia="Arial" w:hAnsi="Arial"/>
          <w:sz w:val="16"/>
          <w:szCs w:val="16"/>
          <w:color w:val="auto"/>
        </w:rPr>
        <w: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Discretionary Sale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2.07(b)</w:t>
      </w:r>
      <w:r>
        <w:rPr>
          <w:rFonts w:ascii="Arial" w:cs="Arial" w:eastAsia="Arial" w:hAnsi="Arial"/>
          <w:sz w:val="18"/>
          <w:szCs w:val="18"/>
          <w:color w:val="auto"/>
        </w:rPr>
        <w:t>.</w:t>
      </w:r>
    </w:p>
    <w:p>
      <w:pPr>
        <w:spacing w:after="0" w:line="223" w:lineRule="exact"/>
        <w:rPr>
          <w:sz w:val="20"/>
          <w:szCs w:val="20"/>
          <w:color w:val="auto"/>
        </w:rPr>
      </w:pPr>
    </w:p>
    <w:p>
      <w:pPr>
        <w:ind w:right="160" w:firstLine="98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means any dispute, claim, offset or defense (other than the discharge in bankruptcy of an Obligor) to the payment of any Loan Asset included in the Collateral Portfolio (including, without limitation, a defense based on such Loan Asset (or the Loan Agreement evidencing such Loan Asset) not being a legal, valid and binding obligation of such Obligor enforceable against it in accordance with its terms), or any other claim resulting from the sale of the merchandise or services related to such Collateral Portfolio or the furnishing or failure to furnish such merchandise or services; </w:t>
      </w:r>
      <w:r>
        <w:rPr>
          <w:rFonts w:ascii="Arial" w:cs="Arial" w:eastAsia="Arial" w:hAnsi="Arial"/>
          <w:sz w:val="16"/>
          <w:szCs w:val="16"/>
          <w:u w:val="single" w:color="auto"/>
          <w:color w:val="auto"/>
        </w:rPr>
        <w:t>provided</w:t>
      </w:r>
      <w:r>
        <w:rPr>
          <w:rFonts w:ascii="Arial" w:cs="Arial" w:eastAsia="Arial" w:hAnsi="Arial"/>
          <w:sz w:val="16"/>
          <w:szCs w:val="16"/>
          <w:color w:val="auto"/>
        </w:rPr>
        <w:t>, that a Dispute shall not arise solely as a result of a Loan Asset being uncollectible due to the Obligor’s financial inability to pay.</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Dodd-Frank</w:t>
      </w:r>
      <w:r>
        <w:rPr>
          <w:rFonts w:ascii="Arial" w:cs="Arial" w:eastAsia="Arial" w:hAnsi="Arial"/>
          <w:sz w:val="18"/>
          <w:szCs w:val="18"/>
          <w:color w:val="auto"/>
        </w:rPr>
        <w:t>” means the Dodd-Frank Wall Street Reform and Consumer Protection Act, Pub. L. 111-203 (2010).</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means the lawful currency of the United States of America.</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 Equivalent</w:t>
      </w:r>
      <w:r>
        <w:rPr>
          <w:rFonts w:ascii="Arial" w:cs="Arial" w:eastAsia="Arial" w:hAnsi="Arial"/>
          <w:sz w:val="17"/>
          <w:szCs w:val="17"/>
          <w:color w:val="auto"/>
        </w:rPr>
        <w:t>” means, as of any date of determination, (i) with respect to any amount denominated in Dollars, such amount, and</w:t>
      </w:r>
    </w:p>
    <w:p>
      <w:pPr>
        <w:spacing w:after="0" w:line="34" w:lineRule="exact"/>
        <w:rPr>
          <w:sz w:val="20"/>
          <w:szCs w:val="20"/>
          <w:color w:val="auto"/>
        </w:rPr>
      </w:pPr>
    </w:p>
    <w:p>
      <w:pPr>
        <w:ind w:right="60" w:firstLine="2"/>
        <w:spacing w:after="0" w:line="251" w:lineRule="auto"/>
        <w:tabs>
          <w:tab w:leader="none" w:pos="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with respect to an amount denominated in any Foreign Currency, the amount of Dollars that would be required to purchase such amount of Foreign Currency on the date two Business Days prior to such date, based upon the spot selling rate at which the Administrative Agent (or a foreign currency broker reasonably acceptable to the Administrative Agent) offers to sell such Foreign Currency for Dollars in the London foreign exchange market at approximately 11:00 a.m., London time, for delivery in two Business Days; </w:t>
      </w:r>
      <w:r>
        <w:rPr>
          <w:rFonts w:ascii="Arial" w:cs="Arial" w:eastAsia="Arial" w:hAnsi="Arial"/>
          <w:sz w:val="18"/>
          <w:szCs w:val="18"/>
          <w:u w:val="single" w:color="auto"/>
          <w:color w:val="auto"/>
        </w:rPr>
        <w:t>provided</w:t>
      </w:r>
      <w:r>
        <w:rPr>
          <w:rFonts w:ascii="Arial" w:cs="Arial" w:eastAsia="Arial" w:hAnsi="Arial"/>
          <w:sz w:val="18"/>
          <w:szCs w:val="18"/>
          <w:color w:val="auto"/>
        </w:rPr>
        <w:t>, that the ‘Dollar Equivalent’ for any Foreign Currency Loan Asset subject to a Hedging Agreement (hedging in Dollars all obligations thereunder) shall equal the applicable Dollar amount under such Hedging Agreement.</w:t>
      </w:r>
    </w:p>
    <w:p>
      <w:pPr>
        <w:spacing w:after="0" w:line="191" w:lineRule="exact"/>
        <w:rPr>
          <w:sz w:val="20"/>
          <w:szCs w:val="20"/>
          <w:color w:val="auto"/>
        </w:rPr>
      </w:pPr>
    </w:p>
    <w:p>
      <w:pPr>
        <w:ind w:right="4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Drawn Utilization</w:t>
      </w:r>
      <w:r>
        <w:rPr>
          <w:rFonts w:ascii="Arial" w:cs="Arial" w:eastAsia="Arial" w:hAnsi="Arial"/>
          <w:sz w:val="18"/>
          <w:szCs w:val="18"/>
          <w:color w:val="auto"/>
        </w:rPr>
        <w:t xml:space="preserve">” means, as of each day during a Remittance Period, an amount (expressed as a percentage) equal to (i) Advances Outstanding on such day,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Aggregate Total Commitments on such day.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LIBOR Rate, the occurrence 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60" w:top="273" w:right="499" w:bottom="1440" w:gutter="0" w:footer="0" w:header="0"/>
        </w:sectPr>
      </w:pPr>
    </w:p>
    <w:bookmarkStart w:id="87" w:name="page88"/>
    <w:bookmarkEnd w:id="87"/>
    <w:p>
      <w:pPr>
        <w:ind w:right="60" w:firstLine="989"/>
        <w:spacing w:after="0" w:line="258" w:lineRule="auto"/>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 determination by the Administrative Agent that at least five currently outstanding U.S. dollar-denominated syndicated or bilateral credit facilities in the U.S. syndicated or bilateral loan market at such time contain (as a result of amendment or as originally executed) a SOFR-based rate (including SOFR, a term SOFR or any other rate based upon SOFR) as a benchmark rate (and such credit facilities are identified in the notice to the Borrower described in clause (2) below and are publicly available for review), and</w:t>
      </w:r>
    </w:p>
    <w:p>
      <w:pPr>
        <w:spacing w:after="0" w:line="77" w:lineRule="exact"/>
        <w:rPr>
          <w:rFonts w:ascii="Arial" w:cs="Arial" w:eastAsia="Arial" w:hAnsi="Arial"/>
          <w:sz w:val="18"/>
          <w:szCs w:val="18"/>
          <w:color w:val="auto"/>
        </w:rPr>
      </w:pPr>
    </w:p>
    <w:p>
      <w:pPr>
        <w:ind w:right="120" w:firstLine="989"/>
        <w:spacing w:after="0" w:line="305" w:lineRule="auto"/>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election by the Administrative Agent (in consultation with the Borrower) to trigger a fallback from Daily LIBOR or Fixed LIBOR and the provision by the Administrative Agent of written notice of such election to the Borrower, the Servicer and the Lenders.</w:t>
      </w:r>
    </w:p>
    <w:p>
      <w:pPr>
        <w:spacing w:after="0" w:line="148" w:lineRule="exact"/>
        <w:rPr>
          <w:sz w:val="20"/>
          <w:szCs w:val="20"/>
          <w:color w:val="auto"/>
        </w:rPr>
      </w:pPr>
    </w:p>
    <w:p>
      <w:pPr>
        <w:ind w:right="40" w:firstLine="987"/>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with respect to any period and any Loan Asset, the meaning of “EBITDA”, “Adjusted EBITDA” or any comparable definition in the Loan Agreement for each such Loan Asset (together with all add-backs and exclusions as designated in such Loan Agreement), and in any case that “EBITDA”, “Adjusted EBITDA” or such comparable definition is not defined in such Loan Agreement, an amount, for the principal obligor on such Loan Asset and any of its parents or Subsidiaries that are obligated pursuant to the Loan Agreement for such Loan Asset (determined on a consolidated basis without duplication in accordance with GAAP) equal to earnings from continuing operations for such period </w:t>
      </w:r>
      <w:r>
        <w:rPr>
          <w:rFonts w:ascii="Arial" w:cs="Arial" w:eastAsia="Arial" w:hAnsi="Arial"/>
          <w:sz w:val="16"/>
          <w:szCs w:val="16"/>
          <w:i w:val="1"/>
          <w:iCs w:val="1"/>
          <w:color w:val="auto"/>
        </w:rPr>
        <w:t>plus</w:t>
      </w:r>
      <w:r>
        <w:rPr>
          <w:rFonts w:ascii="Arial" w:cs="Arial" w:eastAsia="Arial" w:hAnsi="Arial"/>
          <w:sz w:val="16"/>
          <w:szCs w:val="16"/>
          <w:color w:val="auto"/>
        </w:rPr>
        <w:t xml:space="preserve"> interest expense, income taxes and unallocated depreciation and amortization for such period (to the extent deducted in determining earnings from continuing operations for such period), and any other item the Borrower and the Administrative Agent mutually deem to be appropriate.</w:t>
      </w:r>
    </w:p>
    <w:p>
      <w:pPr>
        <w:spacing w:after="0" w:line="164"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3"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ind w:right="4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LTV</w:t>
      </w:r>
      <w:r>
        <w:rPr>
          <w:rFonts w:ascii="Arial" w:cs="Arial" w:eastAsia="Arial" w:hAnsi="Arial"/>
          <w:sz w:val="17"/>
          <w:szCs w:val="17"/>
          <w:color w:val="auto"/>
        </w:rPr>
        <w:t xml:space="preserve">” means, with respect to any Asset Based Loan as of any date of determination, the product of (i) the Outstanding Principal Balance of such Loan Asset </w:t>
      </w:r>
      <w:r>
        <w:rPr>
          <w:rFonts w:ascii="Arial" w:cs="Arial" w:eastAsia="Arial" w:hAnsi="Arial"/>
          <w:sz w:val="17"/>
          <w:szCs w:val="17"/>
          <w:u w:val="single" w:color="auto"/>
          <w:color w:val="auto"/>
        </w:rPr>
        <w:t>divided</w:t>
      </w:r>
      <w:r>
        <w:rPr>
          <w:rFonts w:ascii="Arial" w:cs="Arial" w:eastAsia="Arial" w:hAnsi="Arial"/>
          <w:sz w:val="17"/>
          <w:szCs w:val="17"/>
          <w:color w:val="auto"/>
        </w:rPr>
        <w:t xml:space="preserve"> by (ii) the Appraised Value of such Loan Asset as of such date of determination.</w:t>
      </w:r>
    </w:p>
    <w:p>
      <w:pPr>
        <w:spacing w:after="0" w:line="148" w:lineRule="exact"/>
        <w:rPr>
          <w:sz w:val="20"/>
          <w:szCs w:val="20"/>
          <w:color w:val="auto"/>
        </w:rPr>
      </w:pPr>
    </w:p>
    <w:p>
      <w:pPr>
        <w:ind w:right="72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means (i) a Liquidity Bank or any of its Affiliates, (ii) any Person managed by a Liquidity Bank or any of its Affiliates, or (iii) any financial or other institution acceptable to the Administrative Agent (other than the Borrower or an Affiliate thereof).</w:t>
      </w:r>
    </w:p>
    <w:p>
      <w:pPr>
        <w:spacing w:after="0" w:line="125" w:lineRule="exact"/>
        <w:rPr>
          <w:sz w:val="20"/>
          <w:szCs w:val="20"/>
          <w:color w:val="auto"/>
        </w:rPr>
      </w:pPr>
    </w:p>
    <w:p>
      <w:pPr>
        <w:ind w:right="360" w:firstLine="98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Bid</w:t>
      </w:r>
      <w:r>
        <w:rPr>
          <w:rFonts w:ascii="Arial" w:cs="Arial" w:eastAsia="Arial" w:hAnsi="Arial"/>
          <w:sz w:val="17"/>
          <w:szCs w:val="17"/>
          <w:color w:val="auto"/>
        </w:rPr>
        <w:t>” means a bid made in good faith (and acceptable as a valid bid in the Administrative Agent’s reasonable discretion) by a bidder for all or any portion of the Collateral Portfolio in connection with a sale of the Collateral Portfolio in whole or in part pursuant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8.02(i)</w:t>
      </w:r>
      <w:r>
        <w:rPr>
          <w:rFonts w:ascii="Arial" w:cs="Arial" w:eastAsia="Arial" w:hAnsi="Arial"/>
          <w:sz w:val="18"/>
          <w:szCs w:val="18"/>
          <w:color w:val="auto"/>
        </w:rPr>
        <w: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60" w:top="273" w:right="479" w:bottom="1440" w:gutter="0" w:footer="0" w:header="0"/>
        </w:sectPr>
      </w:pPr>
    </w:p>
    <w:bookmarkStart w:id="88" w:name="page89"/>
    <w:bookmarkEnd w:id="88"/>
    <w:p>
      <w:pPr>
        <w:ind w:firstLine="987"/>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Eligible Loan Asset</w:t>
      </w:r>
      <w:r>
        <w:rPr>
          <w:rFonts w:ascii="Arial" w:cs="Arial" w:eastAsia="Arial" w:hAnsi="Arial"/>
          <w:sz w:val="17"/>
          <w:szCs w:val="17"/>
          <w:color w:val="auto"/>
        </w:rPr>
        <w:t xml:space="preserve">” means, at any time, a Loan Asset that (i) is (x) a Broadly Syndicated Loan Asset (other than a Cov-Lite Loan Asset), Unitranche Loan Asset or First Lien Loan Asset, (y) a Cov-Lite Loan Asset with an Assigned Value of 90% or greater, or (z) a Second Lien Loan Asset that is a Floating Rate Loan Asset with an Assigned Value of 85% or greater, and (ii) each of the representations and warranties contained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hereto is true and correct and the standards set forth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are satisfied in full.</w:t>
      </w:r>
    </w:p>
    <w:p>
      <w:pPr>
        <w:spacing w:after="0" w:line="172" w:lineRule="exact"/>
        <w:rPr>
          <w:sz w:val="20"/>
          <w:szCs w:val="20"/>
          <w:color w:val="auto"/>
        </w:rPr>
      </w:pPr>
    </w:p>
    <w:p>
      <w:pPr>
        <w:ind w:right="40" w:firstLine="98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xml:space="preserve">” means any and all foreign, federal, State and local laws, statutes, ordinances, rules, regulations, permits, licenses, approvals, interpretations (with force of law) and orders of courts or Governmental Authorities, relating to the protection of human health or the environment, including, but not limited to, requirements pertaining to the manufacture, processing, distribution, use, treatment, storage, disposal, transportation, handling, reporting, licensing, permitting, investigation or remediation of Hazardous Materials. Environmental Laws include, without limitation, the Comprehensive Environmental Response, Compensation, and Liability Act (42 U.S.C. § 9601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Hazardous Material Transportation Act (49 U.S.C. § 331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Resource Conservation and Recovery Act (42 U.S.C. § 6901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Federal Water Pollution Control Act (33 U.S.C. § 1251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Clean Air Act (42 U.S.C. § 7401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Toxic Substances Control Act (15 U.S.C. § 2601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Safe Drinking Water Act (42 U.S.C. § 300, </w:t>
      </w:r>
      <w:r>
        <w:rPr>
          <w:rFonts w:ascii="Arial" w:cs="Arial" w:eastAsia="Arial" w:hAnsi="Arial"/>
          <w:sz w:val="17"/>
          <w:szCs w:val="17"/>
          <w:u w:val="single" w:color="auto"/>
          <w:color w:val="auto"/>
        </w:rPr>
        <w:t>et seq.</w:t>
      </w:r>
      <w:r>
        <w:rPr>
          <w:rFonts w:ascii="Arial" w:cs="Arial" w:eastAsia="Arial" w:hAnsi="Arial"/>
          <w:sz w:val="17"/>
          <w:szCs w:val="17"/>
          <w:color w:val="auto"/>
        </w:rPr>
        <w:t xml:space="preserve">), the Environmental Protection Agency’s regulations relating to underground storage tanks (40 C.F.R. Parts 280 and 281), and the Occupational Safety and Health Act (29 U.S.C. § 651 </w:t>
      </w:r>
      <w:r>
        <w:rPr>
          <w:rFonts w:ascii="Arial" w:cs="Arial" w:eastAsia="Arial" w:hAnsi="Arial"/>
          <w:sz w:val="17"/>
          <w:szCs w:val="17"/>
          <w:u w:val="single" w:color="auto"/>
          <w:color w:val="auto"/>
        </w:rPr>
        <w:t>et seq.</w:t>
      </w:r>
      <w:r>
        <w:rPr>
          <w:rFonts w:ascii="Arial" w:cs="Arial" w:eastAsia="Arial" w:hAnsi="Arial"/>
          <w:sz w:val="17"/>
          <w:szCs w:val="17"/>
          <w:color w:val="auto"/>
        </w:rPr>
        <w:t>), and the rules and regulations thereunder, each as amended or supplemented from time to time.</w:t>
      </w:r>
    </w:p>
    <w:p>
      <w:pPr>
        <w:spacing w:after="0" w:line="182" w:lineRule="exact"/>
        <w:rPr>
          <w:sz w:val="20"/>
          <w:szCs w:val="20"/>
          <w:color w:val="auto"/>
        </w:rPr>
      </w:pPr>
    </w:p>
    <w:p>
      <w:pPr>
        <w:ind w:right="2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Amount</w:t>
      </w:r>
      <w:r>
        <w:rPr>
          <w:rFonts w:ascii="Arial" w:cs="Arial" w:eastAsia="Arial" w:hAnsi="Arial"/>
          <w:sz w:val="17"/>
          <w:szCs w:val="17"/>
          <w:color w:val="auto"/>
        </w:rPr>
        <w:t xml:space="preserve">” means, as of any date of determination, the excess, if any, of (i) the Aggregate Outstanding Loan Balance as of such date </w:t>
      </w:r>
      <w:r>
        <w:rPr>
          <w:rFonts w:ascii="Arial" w:cs="Arial" w:eastAsia="Arial" w:hAnsi="Arial"/>
          <w:sz w:val="17"/>
          <w:szCs w:val="17"/>
          <w:i w:val="1"/>
          <w:iCs w:val="1"/>
          <w:color w:val="auto"/>
        </w:rPr>
        <w:t xml:space="preserve">plus </w:t>
      </w:r>
      <w:r>
        <w:rPr>
          <w:rFonts w:ascii="Arial" w:cs="Arial" w:eastAsia="Arial" w:hAnsi="Arial"/>
          <w:sz w:val="17"/>
          <w:szCs w:val="17"/>
          <w:color w:val="auto"/>
        </w:rPr>
        <w:t>amounts on deposit in the Principal Collection Account as of such date over (ii) Advances Outstanding as of such date.</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United States Employee Retirement Income Security Act of 1974, as amended from time to time.</w:t>
      </w:r>
    </w:p>
    <w:p>
      <w:pPr>
        <w:spacing w:after="0" w:line="223" w:lineRule="exact"/>
        <w:rPr>
          <w:sz w:val="20"/>
          <w:szCs w:val="20"/>
          <w:color w:val="auto"/>
        </w:rPr>
      </w:pPr>
    </w:p>
    <w:p>
      <w:pPr>
        <w:ind w:right="12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xml:space="preserve">” means (a) any corporation that is a member of the same controlled group of corporations (within the meaning of Section 414(b) of the Code) as a specified Person, (b) a trade or business (whether or not incorporated) under common control (within the meaning of Section 414(c) of the Code) with such Person, or (c) a member of the same affiliated service group (within the meaning of Section 414(m) of the Code) as such Person, any corporation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or any trade or business described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w:t>
      </w:r>
    </w:p>
    <w:p>
      <w:pPr>
        <w:spacing w:after="0" w:line="172" w:lineRule="exact"/>
        <w:rPr>
          <w:sz w:val="20"/>
          <w:szCs w:val="20"/>
          <w:color w:val="auto"/>
        </w:rPr>
      </w:pPr>
    </w:p>
    <w:p>
      <w:pPr>
        <w:ind w:right="6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60" w:top="273" w:right="479" w:bottom="1440" w:gutter="0" w:footer="0" w:header="0"/>
        </w:sectPr>
      </w:pPr>
    </w:p>
    <w:bookmarkStart w:id="89" w:name="page90"/>
    <w:bookmarkEnd w:id="89"/>
    <w:p>
      <w:pPr>
        <w:ind w:right="40" w:firstLine="987"/>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EURIBOR Rate</w:t>
      </w:r>
      <w:r>
        <w:rPr>
          <w:rFonts w:ascii="Arial" w:cs="Arial" w:eastAsia="Arial" w:hAnsi="Arial"/>
          <w:sz w:val="17"/>
          <w:szCs w:val="17"/>
          <w:color w:val="auto"/>
        </w:rPr>
        <w:t xml:space="preserve">” means, for any day during the Remittance Period with respect to Advances denominated in Euro, the rate per annum appearing on Reuters Screen EURIBOR Page (or any successor or substitute page) applicable to bankers’ acceptances for deposits in Euro for a period equal to three months;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such rate appears on Reuters Screen EURIBOR Page (or any successor or substitute page), the EURIBOR Rate shall be the rate per annum determined by the Administrative Agent using the average of the rates for bankers’ acceptances for deposits in Euro for a three month period in Euro at approximately 11:00 a.m. (Brussels time) for such date. If the EURIBOR Rate is less than zero percent then the EURIBOR Rate shall be deemed to equal zero percent for all purposes of this Agreement.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European Union.</w:t>
      </w:r>
    </w:p>
    <w:p>
      <w:pPr>
        <w:spacing w:after="0" w:line="223" w:lineRule="exact"/>
        <w:rPr>
          <w:sz w:val="20"/>
          <w:szCs w:val="20"/>
          <w:color w:val="auto"/>
        </w:rPr>
      </w:pPr>
    </w:p>
    <w:p>
      <w:pPr>
        <w:ind w:right="20" w:firstLine="987"/>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Disruption Event</w:t>
      </w:r>
      <w:r>
        <w:rPr>
          <w:rFonts w:ascii="Arial" w:cs="Arial" w:eastAsia="Arial" w:hAnsi="Arial"/>
          <w:sz w:val="18"/>
          <w:szCs w:val="18"/>
          <w:color w:val="auto"/>
        </w:rPr>
        <w:t>” means the occurrence of any of the following: (a) any Lender Agent shall have notified the Administrative Agent of a determination by such Lender Agent or any of its assignees that it would be contrary to law or to the directive of any central bank or other Governmental Authority (whether or not having the force of law) to obtain Dollars in the London interbank market to fund any Advance, (b) any Lender Agent shall have notified the Administrative Agent of the inability, for any reason, of such Lender Agent or any Lender in such Lender Agent’s Lender Group or any of its respective assignees to determine LIBOR, (c) any Lender Agent shall have notified the Administrative Agent of a determination by such Lender Agent or any of its respective assignees that the rate at which deposits of Dollars are being offered to any Lender in such Lender Agent’s Lender Group or any of its respective assignees in the London interbank market does not accurately reflect the cost to such Lender or its assignee of making, funding or maintaining any Advance or (d) any Lender Agent shall have notified the Administrative Agent of the inability of a Lender in such Lender Agent’s Lender Group or any of its respective assignees to obtain Dollars in the London interbank market to make, fund or maintain any Advance.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Excepted Persons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12.13(a)</w:t>
      </w:r>
      <w:r>
        <w:rPr>
          <w:rFonts w:ascii="Arial" w:cs="Arial" w:eastAsia="Arial" w:hAnsi="Arial"/>
          <w:sz w:val="18"/>
          <w:szCs w:val="18"/>
          <w:color w:val="auto"/>
        </w:rPr>
        <w:t>.</w:t>
      </w:r>
    </w:p>
    <w:p>
      <w:pPr>
        <w:spacing w:after="0" w:line="223" w:lineRule="exact"/>
        <w:rPr>
          <w:sz w:val="20"/>
          <w:szCs w:val="20"/>
          <w:color w:val="auto"/>
        </w:rPr>
      </w:pPr>
    </w:p>
    <w:p>
      <w:pPr>
        <w:ind w:right="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Concentration Amount</w:t>
      </w:r>
      <w:r>
        <w:rPr>
          <w:rFonts w:ascii="Arial" w:cs="Arial" w:eastAsia="Arial" w:hAnsi="Arial"/>
          <w:sz w:val="18"/>
          <w:szCs w:val="18"/>
          <w:color w:val="auto"/>
        </w:rPr>
        <w:t xml:space="preserve">” means, as of any date of determination prior to the Commitment Termination Date, the amount, if any, by which the Aggregate Outstanding Loan Balance exceeds the Concentration Limits, as applied sequentially and without duplication in accordance with the Borrowing Base Model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82" w:lineRule="exact"/>
        <w:rPr>
          <w:sz w:val="20"/>
          <w:szCs w:val="20"/>
          <w:color w:val="auto"/>
        </w:rPr>
      </w:pPr>
    </w:p>
    <w:p>
      <w:pPr>
        <w:ind w:firstLine="98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Concentration Assets</w:t>
      </w:r>
      <w:r>
        <w:rPr>
          <w:rFonts w:ascii="Arial" w:cs="Arial" w:eastAsia="Arial" w:hAnsi="Arial"/>
          <w:sz w:val="16"/>
          <w:szCs w:val="16"/>
          <w:color w:val="auto"/>
        </w:rPr>
        <w:t xml:space="preserve">” means, as of any date of determination during a Borrowing Base Cure Period, those First Lien Loan Assets that are Eligible Loan Assets designated by the Servicer (or, if the Servicer does not make such identification, designated by the Administrative Agent) that when included in the calculation of “Concentration Limits” would result in amounts exceeding the limits set forth under subclauses (b)(ii) and (e)(ii) of such definition, but would not result in amounts exceeding the limits set forth under subclauses (b)(i) and (e)(i) of such definition;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Servicer and the Administrative Agent shall only designate an Eligible Loan Asset as an Excess Concentration Asset if such Eligible Loan Asset has (and each Excess Concentration Asset must maintain at all times) an Assigned Value greater than or equal to 85%.</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United States Securities Exchange Act of 1934, as amended, and the rules and regulations promulgated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thereunder.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60" w:top="273" w:right="479" w:bottom="1440" w:gutter="0" w:footer="0" w:header="0"/>
        </w:sectPr>
      </w:pPr>
    </w:p>
    <w:bookmarkStart w:id="90" w:name="page91"/>
    <w:bookmarkEnd w:id="90"/>
    <w:p>
      <w:pPr>
        <w:ind w:right="20" w:firstLine="987"/>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Excluded Amounts</w:t>
      </w:r>
      <w:r>
        <w:rPr>
          <w:rFonts w:ascii="Arial" w:cs="Arial" w:eastAsia="Arial" w:hAnsi="Arial"/>
          <w:sz w:val="17"/>
          <w:szCs w:val="17"/>
          <w:color w:val="auto"/>
        </w:rPr>
        <w:t xml:space="preserve">” means (a) any amount received in the Collection Account with respect to any Loan Asset included as part of the Collateral Portfolio, which amount is attributable to the payment of any Tax, fee or other charge imposed by any Governmental Authority on such Loan Asset or on any Underlying Collateral and (b) any amount received in the Collection Account representing (i) any amount representing a reimbursement of insurance premiums, (ii) any escrows relating to Taxes, insurance and other amounts in connection with Loan Assets which are held in an escrow account for the benefit of the Obligor and the secured party pursuant to escrow arrangements under a Loan Agreement, and (iii) any amount received in the Collection Account with respect to any Loan Asset retransferred or substituted for upon the occurrence of a Warranty Event or that is otherwise replaced by a Substitute Eligible Loan Asset, or that is otherwise sold or transferred by the Borrower pursuant to </w:t>
      </w:r>
      <w:r>
        <w:rPr>
          <w:rFonts w:ascii="Arial" w:cs="Arial" w:eastAsia="Arial" w:hAnsi="Arial"/>
          <w:sz w:val="17"/>
          <w:szCs w:val="17"/>
          <w:u w:val="single" w:color="auto"/>
          <w:color w:val="auto"/>
        </w:rPr>
        <w:t>Section 2.07</w:t>
      </w:r>
      <w:r>
        <w:rPr>
          <w:rFonts w:ascii="Arial" w:cs="Arial" w:eastAsia="Arial" w:hAnsi="Arial"/>
          <w:sz w:val="17"/>
          <w:szCs w:val="17"/>
          <w:color w:val="auto"/>
        </w:rPr>
        <w:t>, to the extent such amount is attributable to a time after the effective date of such replacement, transfer or sale.</w:t>
      </w:r>
    </w:p>
    <w:p>
      <w:pPr>
        <w:spacing w:after="0" w:line="182" w:lineRule="exact"/>
        <w:rPr>
          <w:sz w:val="20"/>
          <w:szCs w:val="20"/>
          <w:color w:val="auto"/>
        </w:rPr>
      </w:pPr>
    </w:p>
    <w:p>
      <w:pPr>
        <w:ind w:firstLine="98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any payment made by or on account of any obligation of the Borrower or the Servicer under this Agreement, any of the following Taxes imposed on or with respect to a Lender (a) any income or franchise Taxes imposed on (or measured by) net income and any branch profits Taxes, in each case by (i) the United States of America, (ii) the jurisdiction under the laws of which such Lender is organized, conducts business, in which its principal office is located, or in which its applicable lending office is located or (iii) a jurisdiction as the result of any other present or former connection between such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Taxes attributable to such Lender’s failure to comply with </w:t>
      </w:r>
      <w:r>
        <w:rPr>
          <w:rFonts w:ascii="Arial" w:cs="Arial" w:eastAsia="Arial" w:hAnsi="Arial"/>
          <w:sz w:val="16"/>
          <w:szCs w:val="16"/>
          <w:u w:val="single" w:color="auto"/>
          <w:color w:val="auto"/>
        </w:rPr>
        <w:t>Section 2.11</w:t>
      </w:r>
      <w:r>
        <w:rPr>
          <w:rFonts w:ascii="Arial" w:cs="Arial" w:eastAsia="Arial" w:hAnsi="Arial"/>
          <w:sz w:val="16"/>
          <w:szCs w:val="16"/>
          <w:color w:val="auto"/>
        </w:rPr>
        <w:t>, and (c) any Taxes imposed under FATCA.</w:t>
      </w:r>
    </w:p>
    <w:p>
      <w:pPr>
        <w:spacing w:after="0" w:line="169" w:lineRule="exact"/>
        <w:rPr>
          <w:sz w:val="20"/>
          <w:szCs w:val="20"/>
          <w:color w:val="auto"/>
        </w:rPr>
      </w:pPr>
    </w:p>
    <w:p>
      <w:pPr>
        <w:ind w:right="10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Size”</w:t>
      </w:r>
      <w:r>
        <w:rPr>
          <w:rFonts w:ascii="Arial" w:cs="Arial" w:eastAsia="Arial" w:hAnsi="Arial"/>
          <w:sz w:val="18"/>
          <w:szCs w:val="18"/>
          <w:color w:val="auto"/>
        </w:rPr>
        <w:t xml:space="preserve"> means, with respect to any Broadly Syndicated Loan Asset, the tranche currently held or contemplated for purchase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to the extent, there are multiple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tranches issued by an Obligor, such other tranches shall be included in the calculation of “Facility Size” if and to the extent that the related Loan Agreement provides that (x) such tranches are governed by the same material terms, and (y) each of such tranches are each widely distributed, and (ii) the calculation of “Facility Size” hereunder shall include any last out component (but not any second lien component) relating thereto.</w:t>
      </w:r>
    </w:p>
    <w:p>
      <w:pPr>
        <w:spacing w:after="0" w:line="190" w:lineRule="exact"/>
        <w:rPr>
          <w:sz w:val="20"/>
          <w:szCs w:val="20"/>
          <w:color w:val="auto"/>
        </w:rPr>
      </w:pPr>
    </w:p>
    <w:p>
      <w:pPr>
        <w:ind w:right="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in effect on the date hereof (or any amended version that is substantively comparable) and any regulations promulgated thereunder or official interpretations thereof.</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FDIC</w:t>
      </w:r>
      <w:r>
        <w:rPr>
          <w:rFonts w:ascii="Arial" w:cs="Arial" w:eastAsia="Arial" w:hAnsi="Arial"/>
          <w:sz w:val="18"/>
          <w:szCs w:val="18"/>
          <w:color w:val="auto"/>
        </w:rPr>
        <w:t>” means the Federal Deposit Insurance Corporation, and any successor thereto.</w:t>
      </w:r>
    </w:p>
    <w:p>
      <w:pPr>
        <w:spacing w:after="0" w:line="223" w:lineRule="exact"/>
        <w:rPr>
          <w:sz w:val="20"/>
          <w:szCs w:val="20"/>
          <w:color w:val="auto"/>
        </w:rPr>
      </w:pPr>
    </w:p>
    <w:p>
      <w:pPr>
        <w:ind w:right="2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per annum rate equal, for each day during such period, to the weighted average of the overnight federal funds rates as in Federal Reserve Board Statistical Release H.15(519) or any successor or substitute publication selected by the Administrative Agent (or, if such day is not a Business Day, for the next preceding Business Day), or, if for any reason such rate is not available on any day, the rate determined, in the sole discretion of the Administrative Agent, to be the rate at which overnight federal funds are being offered in the national federal funds market at 9:00 a.m. on such day.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3" w:right="479" w:bottom="1440" w:gutter="0" w:footer="0" w:header="0"/>
        </w:sectPr>
      </w:pPr>
    </w:p>
    <w:bookmarkStart w:id="91" w:name="page92"/>
    <w:bookmarkEnd w:id="91"/>
    <w:p>
      <w:pPr>
        <w:ind w:right="40" w:firstLine="987"/>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Fee Letter</w:t>
      </w:r>
      <w:r>
        <w:rPr>
          <w:rFonts w:ascii="Arial" w:cs="Arial" w:eastAsia="Arial" w:hAnsi="Arial"/>
          <w:sz w:val="16"/>
          <w:szCs w:val="16"/>
          <w:color w:val="auto"/>
        </w:rPr>
        <w:t>” means the Agent Fee Letter, the Backup Servicer and Collateral Custodian Fee Letter, and each fee letter agreement that shall be entered into by and among the Borrower, the Servicer, the applicable Lender and its related Lender Agent in connection with the transactions contemplated by this Agreement, in each case, as amended, modified, waived, supplemented, restated or replaced from time to time.</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Fees</w:t>
      </w:r>
      <w:r>
        <w:rPr>
          <w:rFonts w:ascii="Arial" w:cs="Arial" w:eastAsia="Arial" w:hAnsi="Arial"/>
          <w:sz w:val="16"/>
          <w:szCs w:val="16"/>
          <w:color w:val="auto"/>
        </w:rPr>
        <w:t>” means (i) the Undrawn Fee and (ii) the fees payable to each Lender or Lender Agent pursuant to the terms of the Fee Letters.</w:t>
      </w:r>
    </w:p>
    <w:p>
      <w:pPr>
        <w:spacing w:after="0" w:line="246" w:lineRule="exact"/>
        <w:rPr>
          <w:sz w:val="20"/>
          <w:szCs w:val="20"/>
          <w:color w:val="auto"/>
        </w:rPr>
      </w:pPr>
    </w:p>
    <w:p>
      <w:pPr>
        <w:jc w:val="both"/>
        <w:ind w:right="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xml:space="preserve">” means the earliest to occur of (i) the Scheduled Maturity Date, (ii) the date of the automatic occurrence of an Event of Default, or the date of the declaration of the Final Maturity Date upon the occurrence of an Event of Default, or (iii) the occurrence of the termination of this Agreement pursuant to </w:t>
      </w:r>
      <w:r>
        <w:rPr>
          <w:rFonts w:ascii="Arial" w:cs="Arial" w:eastAsia="Arial" w:hAnsi="Arial"/>
          <w:sz w:val="18"/>
          <w:szCs w:val="18"/>
          <w:u w:val="single" w:color="auto"/>
          <w:color w:val="auto"/>
        </w:rPr>
        <w:t>Section 2.18(b)</w:t>
      </w:r>
      <w:r>
        <w:rPr>
          <w:rFonts w:ascii="Arial" w:cs="Arial" w:eastAsia="Arial" w:hAnsi="Arial"/>
          <w:sz w:val="18"/>
          <w:szCs w:val="18"/>
          <w:color w:val="auto"/>
        </w:rPr>
        <w:t xml:space="preserve"> hereof.</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xml:space="preserve">” means the Servicer Termination Events set forth in </w:t>
      </w:r>
      <w:r>
        <w:rPr>
          <w:rFonts w:ascii="Arial" w:cs="Arial" w:eastAsia="Arial" w:hAnsi="Arial"/>
          <w:sz w:val="18"/>
          <w:szCs w:val="18"/>
          <w:u w:val="single" w:color="auto"/>
          <w:color w:val="auto"/>
        </w:rPr>
        <w:t>clauses (f)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w:t>
      </w:r>
      <w:r>
        <w:rPr>
          <w:rFonts w:ascii="Arial" w:cs="Arial" w:eastAsia="Arial" w:hAnsi="Arial"/>
          <w:sz w:val="18"/>
          <w:szCs w:val="18"/>
          <w:color w:val="auto"/>
        </w:rPr>
        <w:t xml:space="preserve"> of such defined term.</w:t>
      </w:r>
    </w:p>
    <w:p>
      <w:pPr>
        <w:spacing w:after="0" w:line="223"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Sponsor</w:t>
      </w:r>
      <w:r>
        <w:rPr>
          <w:rFonts w:ascii="Arial" w:cs="Arial" w:eastAsia="Arial" w:hAnsi="Arial"/>
          <w:sz w:val="18"/>
          <w:szCs w:val="18"/>
          <w:color w:val="auto"/>
        </w:rPr>
        <w:t>” means any Person, including any Subsidiary of such Person, whose principal business activity is acquiring, holding, and selling investments (including controlling interests) in otherwise unrelated companies that each are distinct legal entities with separate management, books and records and bank accounts, whose operations are not integrated with one another and whose financial condition and creditworthiness are independent of the other companies so owned by such Person.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Broadly Syndicated Loan Asset</w:t>
      </w:r>
      <w:r>
        <w:rPr>
          <w:rFonts w:ascii="Arial" w:cs="Arial" w:eastAsia="Arial" w:hAnsi="Arial"/>
          <w:sz w:val="18"/>
          <w:szCs w:val="18"/>
          <w:color w:val="auto"/>
        </w:rPr>
        <w:t>” means a Broadly Syndicated Loan Asset that is a First Lien Loan Asset.</w:t>
      </w:r>
    </w:p>
    <w:p>
      <w:pPr>
        <w:spacing w:after="0" w:line="223" w:lineRule="exact"/>
        <w:rPr>
          <w:sz w:val="20"/>
          <w:szCs w:val="20"/>
          <w:color w:val="auto"/>
        </w:rPr>
      </w:pPr>
    </w:p>
    <w:p>
      <w:pPr>
        <w:ind w:firstLine="98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Debt</w:t>
      </w:r>
      <w:r>
        <w:rPr>
          <w:rFonts w:ascii="Arial" w:cs="Arial" w:eastAsia="Arial" w:hAnsi="Arial"/>
          <w:sz w:val="16"/>
          <w:szCs w:val="16"/>
          <w:color w:val="auto"/>
        </w:rPr>
        <w:t>” means any Indebtedness of an Obligor that (i) is secured by a valid and perfected first priority Lien on substantially all of the Obligor’s assets constituting Underlying Collateral relating thereto, subject to any “permitted liens” as defined in the applicable loan agreement for such Indebtedness or such comparable definition or provision if “permitted liens” is not defined therein (including, without limitation, priority Liens on certain current assets, including accounts receivable, to secure working capital facilities set forth in “permitted liens” as defined in such loan agreement or such comparable definition or provision if “permitted liens” is not defined therein), (ii) provides that the payment obligation of the Obligor is either senior to, or pari passu with, all other Indebtedness of such Obligor, and (iii) for which Liens on the assets constituting Underlying Collateral securing any other outstanding Indebtedness of the Obligor (including Liens securing Second Lien Loan Assets, but otherwise excluding “permitted liens” referred to above) is expressly subject to and contractually or structurally subordinate to the priority claim under the related loan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60" w:top="273" w:right="479" w:bottom="1440" w:gutter="0" w:footer="0" w:header="0"/>
        </w:sectPr>
      </w:pPr>
    </w:p>
    <w:bookmarkStart w:id="92" w:name="page93"/>
    <w:bookmarkEnd w:id="92"/>
    <w:p>
      <w:pPr>
        <w:jc w:val="both"/>
        <w:ind w:right="100" w:firstLine="987"/>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First Lien Large Market Loan Asset</w:t>
      </w:r>
      <w:r>
        <w:rPr>
          <w:rFonts w:ascii="Arial" w:cs="Arial" w:eastAsia="Arial" w:hAnsi="Arial"/>
          <w:sz w:val="16"/>
          <w:szCs w:val="16"/>
          <w:color w:val="auto"/>
        </w:rPr>
        <w:t xml:space="preserve">” means a First Lien Loan Asset (other than a First Lien Broadly Syndicated Loan Asset, Unitranche Loan Asset, Asset Based Loan or Healthcare Loan Asset) for which the EBITDA of the related Obligor thereof (determined on a quarterly basis for the most recent trailing four-quarters, as set forth in the quarterly report delivered pursuant to </w:t>
      </w:r>
      <w:r>
        <w:rPr>
          <w:rFonts w:ascii="Arial" w:cs="Arial" w:eastAsia="Arial" w:hAnsi="Arial"/>
          <w:sz w:val="16"/>
          <w:szCs w:val="16"/>
          <w:u w:val="single" w:color="auto"/>
          <w:color w:val="auto"/>
        </w:rPr>
        <w:t>Section 6.08(f)(iii)</w:t>
      </w:r>
      <w:r>
        <w:rPr>
          <w:rFonts w:ascii="Arial" w:cs="Arial" w:eastAsia="Arial" w:hAnsi="Arial"/>
          <w:sz w:val="16"/>
          <w:szCs w:val="16"/>
          <w:color w:val="auto"/>
        </w:rPr>
        <w:t>) is greater than or equal to $30,000,000.</w:t>
      </w:r>
    </w:p>
    <w:p>
      <w:pPr>
        <w:spacing w:after="0" w:line="147" w:lineRule="exact"/>
        <w:rPr>
          <w:sz w:val="20"/>
          <w:szCs w:val="20"/>
          <w:color w:val="auto"/>
        </w:rPr>
      </w:pPr>
    </w:p>
    <w:p>
      <w:pPr>
        <w:ind w:firstLine="98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 Loan Asset</w:t>
      </w:r>
      <w:r>
        <w:rPr>
          <w:rFonts w:ascii="Arial" w:cs="Arial" w:eastAsia="Arial" w:hAnsi="Arial"/>
          <w:sz w:val="17"/>
          <w:szCs w:val="17"/>
          <w:color w:val="auto"/>
        </w:rPr>
        <w:t xml:space="preserve">” means any Loan Asset that (i) is secured by a valid and perfected first priority Lien on substantially all of the Obligor’s assets constituting Underlying Collateral for the Loan Asset, subject to any “permitted liens” as defined in the applicable Loan Agreement for such Loan Asset or such comparable definition or provision if “permitted liens” is not defined therein (including, without limitation, priority Liens on certain current assets, including accounts receivable, to secure working capital facilities set forth in “permitted liens” as defined in such Loan Agreement or such comparable definition or provision if “permitted liens” is not defined therein), (ii) provides that the payment obligation of the Obligor on such Loan Asset is either senior to, or pari passu with, all other Indebtedness of such Obligor, and (iii) for which Liens on the assets constituting Underlying Collateral securing any other outstanding Indebtedness of the Obligor (including Liens securing Second Lien Loan Assets, but otherwise excluding “permitted liens” referred to above) is expressly subject to and contractually or structurally subordinate to the priority claim under the Loan Agreement governing such Loan Asset or the related documentation of the “first lien” lenders under such “First Lien Loan Asset”;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Asset Based Loan, no other obligations of such Obligor are senior to such Asset Based Loan.</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Ratings, Inc. or its successors in interest.</w:t>
      </w:r>
    </w:p>
    <w:p>
      <w:pPr>
        <w:spacing w:after="0" w:line="223" w:lineRule="exact"/>
        <w:rPr>
          <w:sz w:val="20"/>
          <w:szCs w:val="20"/>
          <w:color w:val="auto"/>
        </w:rPr>
      </w:pPr>
    </w:p>
    <w:p>
      <w:pPr>
        <w:ind w:right="120" w:firstLine="987"/>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LIBOR</w:t>
      </w:r>
      <w:r>
        <w:rPr>
          <w:rFonts w:ascii="Arial" w:cs="Arial" w:eastAsia="Arial" w:hAnsi="Arial"/>
          <w:sz w:val="16"/>
          <w:szCs w:val="16"/>
          <w:color w:val="auto"/>
        </w:rPr>
        <w:t xml:space="preserve">” means, for any day during each Fixed Period, with respect to any Fixed LIBOR Advance (i) if such Fixed LIBOR Advance is denominated in any Currency other than Canadian Dollars or Euros (a)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London interbank offered rate as administered by the ICE Benchmark Administration (or any other person that takes over the administration of such rate) appearing on the Reuters page that displays such rate (such page currently being the LIBOR01 page) or on any successor or replacement for such service at approximately 11:00 a.m., London time, two Business Days prior to the beginning of such Fixed Period; and (b) if the rate specified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does not so appear on Reuters Screen LIBOR01 Page (or any successor or substitute page), the interest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at which Dollar deposits of $5,000,000 and for such Fixed Period are offered by the principal London office of Citibank in immediately available funds in the London interbank market at approximately 11:00 a.m., London time, for such day, (ii) if such Fixed LIBOR Advance is denominated in Canadian Dollars, the CDOR Rate for such Fixed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Fixed LIBOR equal less than 0% and (iii) if such Fixed LIBOR Advance is denominated in Euros, the EURIBOR Rate for such Fixed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Fixed LIBOR equal less than 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LIBOR Advance</w:t>
      </w:r>
      <w:r>
        <w:rPr>
          <w:rFonts w:ascii="Arial" w:cs="Arial" w:eastAsia="Arial" w:hAnsi="Arial"/>
          <w:sz w:val="18"/>
          <w:szCs w:val="18"/>
          <w:color w:val="auto"/>
        </w:rPr>
        <w:t>” means an Advance to which the Fixed LIBOR is applicable.</w:t>
      </w:r>
    </w:p>
    <w:p>
      <w:pPr>
        <w:spacing w:after="0" w:line="223" w:lineRule="exact"/>
        <w:rPr>
          <w:sz w:val="20"/>
          <w:szCs w:val="20"/>
          <w:color w:val="auto"/>
        </w:rPr>
      </w:pPr>
    </w:p>
    <w:p>
      <w:pPr>
        <w:jc w:val="both"/>
        <w:ind w:right="200" w:firstLine="987"/>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Fixed Period</w:t>
      </w:r>
      <w:r>
        <w:rPr>
          <w:rFonts w:ascii="Arial" w:cs="Arial" w:eastAsia="Arial" w:hAnsi="Arial"/>
          <w:sz w:val="16"/>
          <w:szCs w:val="16"/>
          <w:color w:val="auto"/>
        </w:rPr>
        <w:t>” means (i) with respect to any Fixed LIBOR Advance other than a Foreign Currency Advance (a) if the CP Cost of Funds Rate is not available from a Conduit Lender that is funding any Advance or portion thereof through the issuance of Commercial Paper Notes, a period commencing on the Advance Date or conversion date, as the case may be, with respect to such Advance and ending one or three months thereafter, as selected by the Borrower in its Notice of Borrowing or notice of conversion, as the case may be, given with respect thereto; and (b) in all</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3" w:right="479" w:bottom="1440" w:gutter="0" w:footer="0" w:header="0"/>
        </w:sectPr>
      </w:pPr>
    </w:p>
    <w:bookmarkStart w:id="93" w:name="page94"/>
    <w:bookmarkEnd w:id="93"/>
    <w:p>
      <w:pPr>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other cases, a period commencing with the Advance Date and ending one or three months thereafter, as selected by the Borrower in accordance with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and (ii) with respect to any Fixed LIBOR Advance that is a Foreign Currency Advance, a period commencing with the Advance Date and ending three months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of the foregoing provisions relating to Fixed Periods are subject to the following:</w:t>
      </w:r>
    </w:p>
    <w:p>
      <w:pPr>
        <w:spacing w:after="0" w:line="40" w:lineRule="exact"/>
        <w:rPr>
          <w:sz w:val="20"/>
          <w:szCs w:val="20"/>
          <w:color w:val="auto"/>
        </w:rPr>
      </w:pPr>
    </w:p>
    <w:p>
      <w:pPr>
        <w:ind w:left="980" w:right="100" w:firstLine="408"/>
        <w:spacing w:after="0" w:line="262" w:lineRule="auto"/>
        <w:tabs>
          <w:tab w:leader="none" w:pos="1593"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any Fixed Period would otherwise end on a day that is not a Business Day, such Fixed Period shall be extended to the next succeeding Business Day unless the result of such extension would be to carry such Fixed Period into another Month in which event such Fixed Period shall end on the immediately preceding Business Day;</w:t>
      </w:r>
    </w:p>
    <w:p>
      <w:pPr>
        <w:spacing w:after="0" w:line="74" w:lineRule="exact"/>
        <w:rPr>
          <w:rFonts w:ascii="Arial" w:cs="Arial" w:eastAsia="Arial" w:hAnsi="Arial"/>
          <w:sz w:val="18"/>
          <w:szCs w:val="18"/>
          <w:color w:val="auto"/>
        </w:rPr>
      </w:pPr>
    </w:p>
    <w:p>
      <w:pPr>
        <w:ind w:left="1660" w:hanging="272"/>
        <w:spacing w:after="0"/>
        <w:tabs>
          <w:tab w:leader="none" w:pos="1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Borrower may not select a Fixed Period that would extend beyond the Scheduled Maturity Date;</w:t>
      </w:r>
    </w:p>
    <w:p>
      <w:pPr>
        <w:spacing w:after="0" w:line="115" w:lineRule="exact"/>
        <w:rPr>
          <w:rFonts w:ascii="Arial" w:cs="Arial" w:eastAsia="Arial" w:hAnsi="Arial"/>
          <w:sz w:val="18"/>
          <w:szCs w:val="18"/>
          <w:color w:val="auto"/>
        </w:rPr>
      </w:pPr>
    </w:p>
    <w:p>
      <w:pPr>
        <w:ind w:left="980" w:right="140" w:firstLine="408"/>
        <w:spacing w:after="0" w:line="275" w:lineRule="auto"/>
        <w:tabs>
          <w:tab w:leader="none" w:pos="16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Fixed Period that begins on the last Business Day of a Month (or on a day for which there is no numerically corresponding day in the Month at the end of such Fixed Period) shall end on the last Business Day of a Month;</w:t>
      </w:r>
    </w:p>
    <w:p>
      <w:pPr>
        <w:spacing w:after="0" w:line="63" w:lineRule="exact"/>
        <w:rPr>
          <w:rFonts w:ascii="Arial" w:cs="Arial" w:eastAsia="Arial" w:hAnsi="Arial"/>
          <w:sz w:val="18"/>
          <w:szCs w:val="18"/>
          <w:color w:val="auto"/>
        </w:rPr>
      </w:pPr>
    </w:p>
    <w:p>
      <w:pPr>
        <w:ind w:left="980" w:right="260" w:firstLine="408"/>
        <w:spacing w:after="0" w:line="275" w:lineRule="auto"/>
        <w:tabs>
          <w:tab w:leader="none" w:pos="16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Fixed Period of three months that begins on a Payment Date shall end on the last day of the Remittance Period immediately preceding the Payment Date falling in the final month of such Fixed Period;</w:t>
      </w:r>
    </w:p>
    <w:p>
      <w:pPr>
        <w:spacing w:after="0" w:line="63" w:lineRule="exact"/>
        <w:rPr>
          <w:rFonts w:ascii="Arial" w:cs="Arial" w:eastAsia="Arial" w:hAnsi="Arial"/>
          <w:sz w:val="18"/>
          <w:szCs w:val="18"/>
          <w:color w:val="auto"/>
        </w:rPr>
      </w:pPr>
    </w:p>
    <w:p>
      <w:pPr>
        <w:ind w:left="980" w:right="120" w:firstLine="408"/>
        <w:spacing w:after="0" w:line="275" w:lineRule="auto"/>
        <w:tabs>
          <w:tab w:leader="none" w:pos="16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Fixed Period of one month shall end on the earlier to occur of (A) the end of such one month period and (B) the last day of the current Remittance Period; and</w:t>
      </w:r>
    </w:p>
    <w:p>
      <w:pPr>
        <w:spacing w:after="0" w:line="63" w:lineRule="exact"/>
        <w:rPr>
          <w:rFonts w:ascii="Arial" w:cs="Arial" w:eastAsia="Arial" w:hAnsi="Arial"/>
          <w:sz w:val="18"/>
          <w:szCs w:val="18"/>
          <w:color w:val="auto"/>
        </w:rPr>
      </w:pPr>
    </w:p>
    <w:p>
      <w:pPr>
        <w:ind w:left="980" w:right="100" w:firstLine="408"/>
        <w:spacing w:after="0" w:line="254" w:lineRule="auto"/>
        <w:tabs>
          <w:tab w:leader="none" w:pos="1682"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(i) after the end of the Revolving Period and prior to the Final Maturity Date, the Borrower shall use commercially reasonable efforts to select Fixed Periods or to maintain a portion of the Advances as Daily LIBOR Advances so as not to require the payment of any Breakage Fees for such Advance, and (ii) with respect to any Advance as to which there exists a Delayed Funding Lender prior to the Delayed Funding Settlement Date applicable thereto, the Borrower shall use commercially reasonable efforts to select Fixed Periods or to maintain a portion of such Advance as a Daily LIBOR Advance so as not to require the payment of any Breakage Fees for such Advance.</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Loan Asset</w:t>
      </w:r>
      <w:r>
        <w:rPr>
          <w:rFonts w:ascii="Arial" w:cs="Arial" w:eastAsia="Arial" w:hAnsi="Arial"/>
          <w:sz w:val="18"/>
          <w:szCs w:val="18"/>
          <w:color w:val="auto"/>
        </w:rPr>
        <w:t>” means a Loan Asset other than a Floating Rate Loan Asset.</w:t>
      </w:r>
    </w:p>
    <w:p>
      <w:pPr>
        <w:spacing w:after="0" w:line="223" w:lineRule="exact"/>
        <w:rPr>
          <w:sz w:val="20"/>
          <w:szCs w:val="20"/>
          <w:color w:val="auto"/>
        </w:rPr>
      </w:pPr>
    </w:p>
    <w:p>
      <w:pPr>
        <w:ind w:right="4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Floating Rate Loan Asset</w:t>
      </w:r>
      <w:r>
        <w:rPr>
          <w:rFonts w:ascii="Arial" w:cs="Arial" w:eastAsia="Arial" w:hAnsi="Arial"/>
          <w:sz w:val="17"/>
          <w:szCs w:val="17"/>
          <w:color w:val="auto"/>
        </w:rPr>
        <w:t>” means a Loan Asset (i) that provides for scheduled payments of floating-rate interest in cash on a semi-annual or more frequent basis, (ii) under which the interest rate payable by the Obligor thereof is based on a prime rate or the London Interbank Offered Rate, plus some specified interest percentage in addition thereto, and (iii) that provides that such interest rate will reset immediately (or at the end of designated interest period) upon any change in the related prime rate or the London Interbank Offered Rate.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460" w:top="273" w:right="499" w:bottom="1440" w:gutter="0" w:footer="0" w:header="0"/>
        </w:sectPr>
      </w:pPr>
    </w:p>
    <w:bookmarkStart w:id="94" w:name="page95"/>
    <w:bookmarkEnd w:id="94"/>
    <w:p>
      <w:pPr>
        <w:ind w:right="780" w:firstLine="987"/>
        <w:spacing w:after="0" w:line="30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7"/>
          <w:szCs w:val="17"/>
          <w:u w:val="single" w:color="auto"/>
          <w:color w:val="auto"/>
        </w:rPr>
        <w:t>Floor</w:t>
      </w:r>
      <w:r>
        <w:rPr>
          <w:rFonts w:ascii="Arial" w:cs="Arial" w:eastAsia="Arial" w:hAnsi="Arial"/>
          <w:sz w:val="17"/>
          <w:szCs w:val="17"/>
          <w:color w:val="auto"/>
        </w:rPr>
        <w:t>” means the benchmark rate floor, if any, provided in this Agreement initially (as of the execution of this Agreement, the modification, amendment or renewal of this Agreement or otherwise) with respect to Daily LIBOR or Fixed LIBOR.</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w:t>
      </w:r>
      <w:r>
        <w:rPr>
          <w:rFonts w:ascii="Arial" w:cs="Arial" w:eastAsia="Arial" w:hAnsi="Arial"/>
          <w:sz w:val="18"/>
          <w:szCs w:val="18"/>
          <w:color w:val="auto"/>
        </w:rPr>
        <w:t>” means Canadian Dollars, GBPs or Euros.</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Advance</w:t>
      </w:r>
      <w:r>
        <w:rPr>
          <w:rFonts w:ascii="Arial" w:cs="Arial" w:eastAsia="Arial" w:hAnsi="Arial"/>
          <w:sz w:val="18"/>
          <w:szCs w:val="18"/>
          <w:color w:val="auto"/>
        </w:rPr>
        <w:t>” means an Advance in a Foreign Currency.</w:t>
      </w:r>
    </w:p>
    <w:p>
      <w:pPr>
        <w:spacing w:after="0" w:line="223" w:lineRule="exact"/>
        <w:rPr>
          <w:sz w:val="20"/>
          <w:szCs w:val="20"/>
          <w:color w:val="auto"/>
        </w:rPr>
      </w:pPr>
    </w:p>
    <w:p>
      <w:pPr>
        <w:ind w:right="40" w:firstLine="98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 Excess Exposure</w:t>
      </w:r>
      <w:r>
        <w:rPr>
          <w:rFonts w:ascii="Arial" w:cs="Arial" w:eastAsia="Arial" w:hAnsi="Arial"/>
          <w:sz w:val="16"/>
          <w:szCs w:val="16"/>
          <w:color w:val="auto"/>
        </w:rPr>
        <w:t>” means, as of any date of determination, each of (1) the amount equal to the positive difference, if any, between (x) Advances Outstanding denominated in any one Foreign Currency, and (y) 10% of Advances Outstanding, and (2) the amount equal to the positive difference, if any, between (x) Advances Outstanding denominated in all Foreign Currencies, and (y) 20% of Advances Outstanding.</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Loan Asset</w:t>
      </w:r>
      <w:r>
        <w:rPr>
          <w:rFonts w:ascii="Arial" w:cs="Arial" w:eastAsia="Arial" w:hAnsi="Arial"/>
          <w:sz w:val="18"/>
          <w:szCs w:val="18"/>
          <w:color w:val="auto"/>
        </w:rPr>
        <w:t>” means a Loan Asset denominated in a Foreign Currency.</w:t>
      </w:r>
    </w:p>
    <w:p>
      <w:pPr>
        <w:spacing w:after="0" w:line="223" w:lineRule="exact"/>
        <w:rPr>
          <w:sz w:val="20"/>
          <w:szCs w:val="20"/>
          <w:color w:val="auto"/>
        </w:rPr>
      </w:pPr>
    </w:p>
    <w:p>
      <w:pPr>
        <w:ind w:right="3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Currency Required Reduction Amounts</w:t>
      </w:r>
      <w:r>
        <w:rPr>
          <w:rFonts w:ascii="Arial" w:cs="Arial" w:eastAsia="Arial" w:hAnsi="Arial"/>
          <w:sz w:val="18"/>
          <w:szCs w:val="18"/>
          <w:color w:val="auto"/>
        </w:rPr>
        <w:t>” means those amounts (in the applicable Currency) necessary to reduce all Foreign Currency Excess Exposures to zero.</w:t>
      </w:r>
    </w:p>
    <w:p>
      <w:pPr>
        <w:spacing w:after="0" w:line="171" w:lineRule="exact"/>
        <w:rPr>
          <w:sz w:val="20"/>
          <w:szCs w:val="20"/>
          <w:color w:val="auto"/>
        </w:rPr>
      </w:pPr>
    </w:p>
    <w:p>
      <w:pPr>
        <w:ind w:right="2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an Obligor of a Loan Asset that (i) is not a legal entity, duly formed, existing and in good standing under the laws of a State, or (ii) whose principal Underlying Collateral is not located in the United States.</w:t>
      </w:r>
    </w:p>
    <w:p>
      <w:pPr>
        <w:spacing w:after="0" w:line="171" w:lineRule="exact"/>
        <w:rPr>
          <w:sz w:val="20"/>
          <w:szCs w:val="20"/>
          <w:color w:val="auto"/>
        </w:rPr>
      </w:pPr>
    </w:p>
    <w:p>
      <w:pPr>
        <w:ind w:right="6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Default</w:t>
      </w:r>
      <w:r>
        <w:rPr>
          <w:rFonts w:ascii="Arial" w:cs="Arial" w:eastAsia="Arial" w:hAnsi="Arial"/>
          <w:sz w:val="18"/>
          <w:szCs w:val="18"/>
          <w:color w:val="auto"/>
        </w:rPr>
        <w:t>” means, with respect to any Defaulting Lender, the occurrence of any of the events set forth in the definition of Defaulting Lender.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as in effect from time to time in the United States.</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GBP</w:t>
      </w:r>
      <w:r>
        <w:rPr>
          <w:rFonts w:ascii="Arial" w:cs="Arial" w:eastAsia="Arial" w:hAnsi="Arial"/>
          <w:sz w:val="18"/>
          <w:szCs w:val="18"/>
          <w:color w:val="auto"/>
        </w:rPr>
        <w:t>” means the lawful currency of the United Kingdom.</w:t>
      </w:r>
    </w:p>
    <w:p>
      <w:pPr>
        <w:spacing w:after="0" w:line="223"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with respect to any Person, any nation or government, any state or other political subdivision thereof, any central bank (or similar monetary or regulatory authority) thereof, any body or entity exercising executive, legislative, judicial, regulatory or administrative functions of or pertaining to government and any court or arbitrator having jurisdiction over such Person, including any supra-national bodies (such as the European Union or the European Central Bank).</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Group Advance Limit</w:t>
      </w:r>
      <w:r>
        <w:rPr>
          <w:rFonts w:ascii="Arial" w:cs="Arial" w:eastAsia="Arial" w:hAnsi="Arial"/>
          <w:sz w:val="17"/>
          <w:szCs w:val="17"/>
          <w:color w:val="auto"/>
        </w:rPr>
        <w:t>” means for each Lender Group, the sum of the Commitments of the Liquidity Banks in such Lender Group.</w:t>
      </w:r>
    </w:p>
    <w:p>
      <w:pPr>
        <w:spacing w:after="0" w:line="234"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Healthcare Loan Asset</w:t>
      </w:r>
      <w:r>
        <w:rPr>
          <w:rFonts w:ascii="Arial" w:cs="Arial" w:eastAsia="Arial" w:hAnsi="Arial"/>
          <w:sz w:val="18"/>
          <w:szCs w:val="18"/>
          <w:color w:val="auto"/>
        </w:rPr>
        <w:t>” means a Loan Asset that is a “venture” loan and whose principal Underlying Collateral consists of an all asset lien (including accounts, inventory and equipment, where applicable) (subject to any “permitted liens” as defined in the applicable Loan Agreement for such Loan Asset or such comparable definition or provision if “permitted liens” is not defined therein) but with at least a negative pledge on the intellectual property, of an Obligor that is in the startup, R&amp;D or early-stage commercial phase and whose principal business is in the bio-pharmaceutical, medical device, healthcare IT or Healthcare Services industries.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460" w:top="273" w:right="579" w:bottom="1440" w:gutter="0" w:footer="0" w:header="0"/>
        </w:sectPr>
      </w:pPr>
    </w:p>
    <w:bookmarkStart w:id="95" w:name="page96"/>
    <w:bookmarkEnd w:id="95"/>
    <w:p>
      <w:pPr>
        <w:ind w:right="20" w:firstLine="987"/>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materials subject to any Environmental Law, including, without limitation, materials listed in 49 C.F.R. § 172.010, materials defined as hazardous pursuant to § 101(14) of the Comprehensive Environmental Response, Compensation and Liability Act of 1980, as amended, flammable, explosive or radioactive materials, hazardous or toxic wastes or substances, lead-based materials, petroleum or petroleum distillates or asbestos or material containing asbestos, polychlorinated biphenyls, radon gas, urea formaldehyde and any substances classified as being “in inventory”, “usable work in process” or similar classification that would, if classified as unusable, be included in the foregoing definition.</w:t>
      </w:r>
    </w:p>
    <w:p>
      <w:pPr>
        <w:spacing w:after="0" w:line="159" w:lineRule="exact"/>
        <w:rPr>
          <w:sz w:val="20"/>
          <w:szCs w:val="20"/>
          <w:color w:val="auto"/>
        </w:rPr>
      </w:pPr>
    </w:p>
    <w:p>
      <w:pPr>
        <w:ind w:right="1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Breakage Costs</w:t>
      </w:r>
      <w:r>
        <w:rPr>
          <w:rFonts w:ascii="Arial" w:cs="Arial" w:eastAsia="Arial" w:hAnsi="Arial"/>
          <w:sz w:val="18"/>
          <w:szCs w:val="18"/>
          <w:color w:val="auto"/>
        </w:rPr>
        <w:t>” means, for any Hedge Transaction, any amount payable by the Borrower for the early termination of that Hedge Transaction or any portion thereof.</w:t>
      </w:r>
    </w:p>
    <w:p>
      <w:pPr>
        <w:spacing w:after="0" w:line="171" w:lineRule="exact"/>
        <w:rPr>
          <w:sz w:val="20"/>
          <w:szCs w:val="20"/>
          <w:color w:val="auto"/>
        </w:rPr>
      </w:pPr>
    </w:p>
    <w:p>
      <w:pPr>
        <w:ind w:right="20" w:firstLine="987"/>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Hedge Counterparty</w:t>
      </w:r>
      <w:r>
        <w:rPr>
          <w:rFonts w:ascii="Arial" w:cs="Arial" w:eastAsia="Arial" w:hAnsi="Arial"/>
          <w:sz w:val="17"/>
          <w:szCs w:val="17"/>
          <w:color w:val="auto"/>
        </w:rPr>
        <w:t xml:space="preserve">” means (1) Citibank or any Affiliate of Citibank, (2) any Lender or Affiliate of a Lender, to the extent such Person satisfies the requirements of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below, and (3) any other entity, to the extent that such other entity (a) on the date of entering into a Hedging Agreement (i) is an interest rate swap dealer that has been approved in writing by the Administrative Agent in its sole discretion, and (ii) has a long-term unsecured debt rating of not less than “A” by S&amp;P, not less than “A2” by Moody’s and not less than “A” by Fitch (if such entity is rated by Fitch) (the “</w:t>
      </w:r>
      <w:r>
        <w:rPr>
          <w:rFonts w:ascii="Arial" w:cs="Arial" w:eastAsia="Arial" w:hAnsi="Arial"/>
          <w:sz w:val="17"/>
          <w:szCs w:val="17"/>
          <w:u w:val="single" w:color="auto"/>
          <w:color w:val="auto"/>
        </w:rPr>
        <w:t>Long-term Rating Requirement</w:t>
      </w:r>
      <w:r>
        <w:rPr>
          <w:rFonts w:ascii="Arial" w:cs="Arial" w:eastAsia="Arial" w:hAnsi="Arial"/>
          <w:sz w:val="17"/>
          <w:szCs w:val="17"/>
          <w:color w:val="auto"/>
        </w:rPr>
        <w:t>”) and a short-term unsecured debt rating of not less than “A-1” by S&amp;P, not less than “P-1” by Moody’s and not less than “F-1” by Fitch (if such entity is rated by Fitch) (the “</w:t>
      </w:r>
      <w:r>
        <w:rPr>
          <w:rFonts w:ascii="Arial" w:cs="Arial" w:eastAsia="Arial" w:hAnsi="Arial"/>
          <w:sz w:val="17"/>
          <w:szCs w:val="17"/>
          <w:u w:val="single" w:color="auto"/>
          <w:color w:val="auto"/>
        </w:rPr>
        <w:t>Short-term Rating Requirement</w:t>
      </w:r>
      <w:r>
        <w:rPr>
          <w:rFonts w:ascii="Arial" w:cs="Arial" w:eastAsia="Arial" w:hAnsi="Arial"/>
          <w:sz w:val="17"/>
          <w:szCs w:val="17"/>
          <w:color w:val="auto"/>
        </w:rPr>
        <w:t xml:space="preserve">”) (or whose obligations under a Hedging Agreement are unconditionally guaranteed by an Affiliate with such ratings), and (b) in a Hedging Agreement (i) consents to the assignment of the Borrower’s rights under the Hedging Agreement to the Administrative Agent, and (ii) agrees that in the event that Moody’s, S&amp;P or Fitch reduces its long-term unsecured debt rating below the Long-term Rating Requirement, or reduces its short-term unsecured debt rating below the Short-term Rating Requirement, it shall either collateralize its obligations in a manner satisfactory to the Administrative Agent or transfer its rights and obligations under each Hedge Transaction to another entity that meets the requirements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hereof which has entered into a Hedging Agreement with the Borrower on or prior to the date of such transfer.</w:t>
      </w:r>
    </w:p>
    <w:p>
      <w:pPr>
        <w:spacing w:after="0" w:line="185" w:lineRule="exact"/>
        <w:rPr>
          <w:sz w:val="20"/>
          <w:szCs w:val="20"/>
          <w:color w:val="auto"/>
        </w:rPr>
      </w:pPr>
    </w:p>
    <w:p>
      <w:pPr>
        <w:ind w:right="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Transaction</w:t>
      </w:r>
      <w:r>
        <w:rPr>
          <w:rFonts w:ascii="Arial" w:cs="Arial" w:eastAsia="Arial" w:hAnsi="Arial"/>
          <w:sz w:val="18"/>
          <w:szCs w:val="18"/>
          <w:color w:val="auto"/>
        </w:rPr>
        <w:t>” means each interest rate swap transaction, interest rate cap transaction, interest rate floor transaction or other derivative transaction approved in writing by the Administrative Agent, between the Borrower and a Hedge Counterparty and is governed by a Hedging Agreement.</w:t>
      </w:r>
    </w:p>
    <w:p>
      <w:pPr>
        <w:spacing w:after="0" w:line="182" w:lineRule="exact"/>
        <w:rPr>
          <w:sz w:val="20"/>
          <w:szCs w:val="20"/>
          <w:color w:val="auto"/>
        </w:rPr>
      </w:pPr>
    </w:p>
    <w:p>
      <w:pPr>
        <w:ind w:firstLine="98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xml:space="preserve">” means each agreement between the Borrower and a Hedge Counterparty that governs one or more Hedge Transactions entered into by the Borrower and such Hedge Counterparty, which agreement shall consist of a “Master Agreement” in a form published by the International Swaps and Derivatives Association, Inc., together with a “Schedule” thereto in such form as the Administrative Agent shall approve in writing, and each “Confirmation” thereunder confirming the specific terms of each such Hedge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“Schedule” to any Hedging Agreement with respect to any Hedge Counterparty other than Citibank N.A., New York shall be subject to the written approval of the Administrative Agent.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60" w:top="273" w:right="479" w:bottom="1440" w:gutter="0" w:footer="0" w:header="0"/>
        </w:sectPr>
      </w:pPr>
    </w:p>
    <w:bookmarkStart w:id="96" w:name="page97"/>
    <w:bookmarkEnd w:id="9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High Leverage Loan Assets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clause (n)</w:t>
      </w:r>
      <w:r>
        <w:rPr>
          <w:rFonts w:ascii="Arial" w:cs="Arial" w:eastAsia="Arial" w:hAnsi="Arial"/>
          <w:sz w:val="18"/>
          <w:szCs w:val="18"/>
          <w:color w:val="auto"/>
        </w:rPr>
        <w:t xml:space="preserve"> of the defined term “Concentration Limits”.</w:t>
      </w:r>
    </w:p>
    <w:p>
      <w:pPr>
        <w:spacing w:after="0" w:line="223" w:lineRule="exact"/>
        <w:rPr>
          <w:sz w:val="20"/>
          <w:szCs w:val="20"/>
          <w:color w:val="auto"/>
        </w:rPr>
      </w:pPr>
    </w:p>
    <w:p>
      <w:pPr>
        <w:ind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 Leverage Overconcentration Loan Assets</w:t>
      </w:r>
      <w:r>
        <w:rPr>
          <w:rFonts w:ascii="Arial" w:cs="Arial" w:eastAsia="Arial" w:hAnsi="Arial"/>
          <w:sz w:val="16"/>
          <w:szCs w:val="16"/>
          <w:color w:val="auto"/>
        </w:rPr>
        <w:t>” means those High Leverage Loan Assets that cause the Outstanding Loan Balances of all High Leverage Loan Assets to exceed 10% of the Concentration Test Amount but do not exceed 20% of the Concentration Test Amount.</w:t>
      </w:r>
    </w:p>
    <w:p>
      <w:pPr>
        <w:spacing w:after="0" w:line="125" w:lineRule="exact"/>
        <w:rPr>
          <w:sz w:val="20"/>
          <w:szCs w:val="20"/>
          <w:color w:val="auto"/>
        </w:rPr>
      </w:pPr>
    </w:p>
    <w:p>
      <w:pPr>
        <w:ind w:right="2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Highest Required Investment Category</w:t>
      </w:r>
      <w:r>
        <w:rPr>
          <w:rFonts w:ascii="Arial" w:cs="Arial" w:eastAsia="Arial" w:hAnsi="Arial"/>
          <w:sz w:val="17"/>
          <w:szCs w:val="17"/>
          <w:color w:val="auto"/>
        </w:rPr>
        <w:t>” means (i) with respect to ratings assigned by Moody’s, “Aa2” or “P-1” for one month instruments, “Aa2” and “P-1” for three month instruments, “Aa3” and “P-1” for six month instruments and “Aa2” and “P-1” for instruments with a term in excess of six months and (ii) with respect to ratings assigned by S&amp;P, “A-1” for short-term instruments and “A” for long-term instruments.</w:t>
      </w:r>
    </w:p>
    <w:p>
      <w:pPr>
        <w:spacing w:after="0" w:line="166" w:lineRule="exact"/>
        <w:rPr>
          <w:sz w:val="20"/>
          <w:szCs w:val="20"/>
          <w:color w:val="auto"/>
        </w:rPr>
      </w:pPr>
    </w:p>
    <w:p>
      <w:pPr>
        <w:ind w:right="3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HLT Loan Asset</w:t>
      </w:r>
      <w:r>
        <w:rPr>
          <w:rFonts w:ascii="Arial" w:cs="Arial" w:eastAsia="Arial" w:hAnsi="Arial"/>
          <w:sz w:val="18"/>
          <w:szCs w:val="18"/>
          <w:color w:val="auto"/>
        </w:rPr>
        <w:t>” means a Loan Asset funded in connection with a leveraged acquisition under which the related obligor’s pro forma ratio of equity to total capital is less than 25%.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w:t>
      </w:r>
    </w:p>
    <w:p>
      <w:pPr>
        <w:spacing w:after="0" w:line="115" w:lineRule="exact"/>
        <w:rPr>
          <w:sz w:val="20"/>
          <w:szCs w:val="20"/>
          <w:color w:val="auto"/>
        </w:rPr>
      </w:pPr>
    </w:p>
    <w:p>
      <w:pPr>
        <w:ind w:left="980" w:right="20" w:firstLine="408"/>
        <w:spacing w:after="0" w:line="267" w:lineRule="auto"/>
        <w:tabs>
          <w:tab w:leader="none" w:pos="1593"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respect to any Obligor under any Loan Asset, for the purposes of the definition of the Senior Debt/EBITDA Ratio and Total Debt/EBITDA Ratio, the meaning of “Indebtedness” or any comparable definition in the Loan Agreement for each such Loan Asset, and in any case that “Indebtedness” or such comparable definition is not defined in such Loan Agreement, without duplication, (a) all obligations of such entity for borrowed money or with respect to deposits or advances of any kind, (b) all obligations of such entity evidenced by bonds, debentures, notes or similar instruments, (c) all obligations of such entity under conditional sale or other title retention agreements relating to property acquired by such entity, (d) all obligations of such entity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entity, whether or not the indebtedness secured thereby has been assumed, (f) all guarantees by such entity of indebtedness of others, (g) all Capital Lease Obligations of such entity, (h) all obligations, contingent or otherwise, of such entity as an account party in respect of letters of credit and letters of guaranty and (i) all obligations, contingent or otherwise, of such entity in respect of bankers’ acceptances; and</w:t>
      </w:r>
    </w:p>
    <w:p>
      <w:pPr>
        <w:spacing w:after="0" w:line="77" w:lineRule="exact"/>
        <w:rPr>
          <w:rFonts w:ascii="Arial" w:cs="Arial" w:eastAsia="Arial" w:hAnsi="Arial"/>
          <w:sz w:val="17"/>
          <w:szCs w:val="17"/>
          <w:color w:val="auto"/>
        </w:rPr>
      </w:pPr>
    </w:p>
    <w:p>
      <w:pPr>
        <w:ind w:left="980" w:right="160" w:firstLine="408"/>
        <w:spacing w:after="0" w:line="274" w:lineRule="auto"/>
        <w:tabs>
          <w:tab w:leader="none" w:pos="1642"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all other purposes, with respect to any Person at any date, (a) all indebtedness of such Person for borrowed money or for the deferred purchase price of property or services (other than current liabilities incurred in the ordinary course of business and payable in accordance with customary trade practices) or that is evidenced by a note, bond, debenture or similar instrument or other evidence of indebtedness customary for indebtedness of that type, (b) all obligations of such Person under leases that have been or should be, in accordance with GAAP, recorded as capital leases, (c) all obligations of such Person in respect 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460" w:top="273" w:right="499" w:bottom="1440" w:gutter="0" w:footer="0" w:header="0"/>
        </w:sectPr>
      </w:pPr>
    </w:p>
    <w:bookmarkStart w:id="97" w:name="page98"/>
    <w:bookmarkEnd w:id="97"/>
    <w:p>
      <w:pPr>
        <w:ind w:left="980" w:right="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acceptances issued or created for the account of such Person, (d) all liabilities secured by any Lien on any property owned by such Person even though such Person has not assumed or otherwise become liable for the payment thereof, (e) all indebtedness, obligations or liabilities of that Person in respect of derivatives, and (f) all obligations under direct or indirect guaranties in respect of obligations (contingent or otherwise) to purchase or otherwise acquire, or to otherwise assure a creditor against loss in respect of, indebtedness or obligations of others of the kind referred to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Amounts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a natural person who, (A) for the five-year period prior to his or her appointment as Independent Director, has not been, and during the continuation of his or her service as Independent Director is not: (i) an employee, director, stockholder, member, manager, partner or officer of the Borrower, Solar Management or any of their respective Affiliates (other than his or her service as an Independent Director of the Borrower or other Affiliates that are structured to be “bankruptcy remote”); (ii) a customer or supplier of the Borrower or any of their Affiliates (other than his or her service as an Independent Director of the Borrower); or (iii) any member of the immediate family of a person described in (i) or (ii), and</w:t>
      </w:r>
    </w:p>
    <w:p>
      <w:pPr>
        <w:spacing w:after="0" w:line="1" w:lineRule="exact"/>
        <w:rPr>
          <w:sz w:val="20"/>
          <w:szCs w:val="20"/>
          <w:color w:val="auto"/>
        </w:rPr>
      </w:pPr>
    </w:p>
    <w:p>
      <w:pPr>
        <w:ind w:right="60" w:firstLine="2"/>
        <w:spacing w:after="0" w:line="290" w:lineRule="auto"/>
        <w:tabs>
          <w:tab w:leader="none" w:pos="284" w:val="left"/>
        </w:tabs>
        <w:numPr>
          <w:ilvl w:val="0"/>
          <w:numId w:val="53"/>
        </w:numPr>
        <w:rPr>
          <w:rFonts w:ascii="Arial" w:cs="Arial" w:eastAsia="Arial" w:hAnsi="Arial"/>
          <w:sz w:val="16"/>
          <w:szCs w:val="16"/>
          <w:color w:val="auto"/>
        </w:rPr>
      </w:pPr>
      <w:r>
        <w:rPr>
          <w:rFonts w:ascii="Arial" w:cs="Arial" w:eastAsia="Arial" w:hAnsi="Arial"/>
          <w:sz w:val="16"/>
          <w:szCs w:val="16"/>
          <w:color w:val="auto"/>
        </w:rPr>
        <w:t>has, (i) prior experience as an Independent Director for a corporation or limited liability company whose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(ii) at least three years of employment experience with one or more entities that provide, in the ordinary course of their respective businesses, advisory, management or placement services to issuers of securitization or structured finance instruments, agreements or securities.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Indorsement</w:t>
      </w:r>
      <w:r>
        <w:rPr>
          <w:rFonts w:ascii="Arial" w:cs="Arial" w:eastAsia="Arial" w:hAnsi="Arial"/>
          <w:sz w:val="18"/>
          <w:szCs w:val="18"/>
          <w:color w:val="auto"/>
        </w:rPr>
        <w:t>” has the meaning specified in Section 8-102(a)(11) of the UCC, and “</w:t>
      </w:r>
      <w:r>
        <w:rPr>
          <w:rFonts w:ascii="Arial" w:cs="Arial" w:eastAsia="Arial" w:hAnsi="Arial"/>
          <w:sz w:val="18"/>
          <w:szCs w:val="18"/>
          <w:u w:val="single" w:color="auto"/>
          <w:color w:val="auto"/>
        </w:rPr>
        <w:t>Indorsed</w:t>
      </w:r>
      <w:r>
        <w:rPr>
          <w:rFonts w:ascii="Arial" w:cs="Arial" w:eastAsia="Arial" w:hAnsi="Arial"/>
          <w:sz w:val="18"/>
          <w:szCs w:val="18"/>
          <w:color w:val="auto"/>
        </w:rPr>
        <w:t>” has a corresponding meaning.</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Advance</w:t>
      </w:r>
      <w:r>
        <w:rPr>
          <w:rFonts w:ascii="Arial" w:cs="Arial" w:eastAsia="Arial" w:hAnsi="Arial"/>
          <w:sz w:val="18"/>
          <w:szCs w:val="18"/>
          <w:color w:val="auto"/>
        </w:rPr>
        <w:t xml:space="preserve">” means the first Advance made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Extension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Payment Date</w:t>
      </w:r>
      <w:r>
        <w:rPr>
          <w:rFonts w:ascii="Arial" w:cs="Arial" w:eastAsia="Arial" w:hAnsi="Arial"/>
          <w:sz w:val="18"/>
          <w:szCs w:val="18"/>
          <w:color w:val="auto"/>
        </w:rPr>
        <w:t>” means September 15, 2011.</w:t>
      </w:r>
    </w:p>
    <w:p>
      <w:pPr>
        <w:spacing w:after="0" w:line="223" w:lineRule="exact"/>
        <w:rPr>
          <w:sz w:val="20"/>
          <w:szCs w:val="20"/>
          <w:color w:val="auto"/>
        </w:rPr>
      </w:pPr>
    </w:p>
    <w:p>
      <w:pPr>
        <w:ind w:right="2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Institutional Lender</w:t>
      </w:r>
      <w:r>
        <w:rPr>
          <w:rFonts w:ascii="Arial" w:cs="Arial" w:eastAsia="Arial" w:hAnsi="Arial"/>
          <w:sz w:val="18"/>
          <w:szCs w:val="18"/>
          <w:color w:val="auto"/>
        </w:rPr>
        <w:t xml:space="preserve">” means each financial institution (other than a Conduit Lender or a Liquidity Bank) which may from time to time become a Lender hereunder by executing and delivering a Joinder Supplement to the Administrative Agent and the Borrower as contemplated by </w:t>
      </w:r>
      <w:r>
        <w:rPr>
          <w:rFonts w:ascii="Arial" w:cs="Arial" w:eastAsia="Arial" w:hAnsi="Arial"/>
          <w:sz w:val="18"/>
          <w:szCs w:val="18"/>
          <w:u w:val="single" w:color="auto"/>
          <w:color w:val="auto"/>
        </w:rPr>
        <w:t>Section 12.04(a)</w:t>
      </w:r>
      <w:r>
        <w:rPr>
          <w:rFonts w:ascii="Arial" w:cs="Arial" w:eastAsia="Arial" w:hAnsi="Arial"/>
          <w:sz w:val="18"/>
          <w:szCs w:val="18"/>
          <w:color w:val="auto"/>
        </w:rPr>
        <w: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w:t>
      </w:r>
      <w:r>
        <w:rPr>
          <w:rFonts w:ascii="Arial" w:cs="Arial" w:eastAsia="Arial" w:hAnsi="Arial"/>
          <w:sz w:val="18"/>
          <w:szCs w:val="18"/>
          <w:color w:val="auto"/>
        </w:rPr>
        <w:t>” has the meaning specified in Section 9-102(a)(47) of the UCC.</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460" w:top="273" w:right="499" w:bottom="1440" w:gutter="0" w:footer="0" w:header="0"/>
        </w:sectPr>
      </w:pPr>
    </w:p>
    <w:bookmarkStart w:id="98" w:name="page99"/>
    <w:bookmarkEnd w:id="98"/>
    <w:p>
      <w:pPr>
        <w:ind w:right="20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Insurance Policy</w:t>
      </w:r>
      <w:r>
        <w:rPr>
          <w:rFonts w:ascii="Arial" w:cs="Arial" w:eastAsia="Arial" w:hAnsi="Arial"/>
          <w:sz w:val="18"/>
          <w:szCs w:val="18"/>
          <w:color w:val="auto"/>
        </w:rPr>
        <w:t>” means, with respect to any Loan Asset, an insurance policy covering liability and physical damage to, or loss of, the Underlying Collateral.</w:t>
      </w:r>
    </w:p>
    <w:p>
      <w:pPr>
        <w:spacing w:after="0" w:line="171" w:lineRule="exact"/>
        <w:rPr>
          <w:sz w:val="20"/>
          <w:szCs w:val="20"/>
          <w:color w:val="auto"/>
        </w:rPr>
      </w:pPr>
    </w:p>
    <w:p>
      <w:pPr>
        <w:jc w:val="both"/>
        <w:ind w:right="16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Insurance Proceeds</w:t>
      </w:r>
      <w:r>
        <w:rPr>
          <w:rFonts w:ascii="Arial" w:cs="Arial" w:eastAsia="Arial" w:hAnsi="Arial"/>
          <w:sz w:val="17"/>
          <w:szCs w:val="17"/>
          <w:color w:val="auto"/>
        </w:rPr>
        <w:t>” means any amounts received on or with respect to a Loan Asset under any Insurance Policy or with respect to any condemnation proceeding or award in lieu of condemnation, other than any such amount received which is required to be used to restore, improve or repair the related real estate or other assets or required to be paid to the Obligor under the Loan Agreement.</w:t>
      </w:r>
    </w:p>
    <w:p>
      <w:pPr>
        <w:spacing w:after="0" w:line="166" w:lineRule="exact"/>
        <w:rPr>
          <w:sz w:val="20"/>
          <w:szCs w:val="20"/>
          <w:color w:val="auto"/>
        </w:rPr>
      </w:pPr>
    </w:p>
    <w:p>
      <w:pPr>
        <w:ind w:firstLine="98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w:t>
      </w:r>
      <w:r>
        <w:rPr>
          <w:rFonts w:ascii="Arial" w:cs="Arial" w:eastAsia="Arial" w:hAnsi="Arial"/>
          <w:sz w:val="16"/>
          <w:szCs w:val="16"/>
          <w:color w:val="auto"/>
        </w:rPr>
        <w:t>” means, with respect to any period and any Loan Asset, for the Obligor on such Loan Asset and any of its parents or Subsidiaries that are obligated under the Loan Agreement for such Loan Asset (determined on a consolidated basis without duplication in accordance with GAAP), the meaning of “Interest” or any comparable definition in the Loan Agreement for each such Loan Asset and in any case that “Interest” or such comparable definition is not defined in such Loan Agreement, all interest in respect of Indebtedness (including the interest component of any payments in respect of Capital Lease Obligations) accrued or capitalized during such period (whether or not actually paid during such period).</w:t>
      </w:r>
    </w:p>
    <w:p>
      <w:pPr>
        <w:spacing w:after="0" w:line="159" w:lineRule="exact"/>
        <w:rPr>
          <w:sz w:val="20"/>
          <w:szCs w:val="20"/>
          <w:color w:val="auto"/>
        </w:rPr>
      </w:pPr>
    </w:p>
    <w:p>
      <w:pPr>
        <w:ind w:right="1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Collection Account</w:t>
      </w:r>
      <w:r>
        <w:rPr>
          <w:rFonts w:ascii="Arial" w:cs="Arial" w:eastAsia="Arial" w:hAnsi="Arial"/>
          <w:sz w:val="18"/>
          <w:szCs w:val="18"/>
          <w:color w:val="auto"/>
        </w:rPr>
        <w:t>” means collectively, the sub-accounts (account numbers 83667801 for Dollar deposits, 83667802 for Canadian Dollar deposits, 83667803 for GBP deposits, and 83667804 for Euro deposits, in each case, at the Account Bank) of the Collection Account into which Interest Collections shall be segregated.</w:t>
      </w:r>
    </w:p>
    <w:p>
      <w:pPr>
        <w:spacing w:after="0" w:line="182" w:lineRule="exact"/>
        <w:rPr>
          <w:sz w:val="20"/>
          <w:szCs w:val="20"/>
          <w:color w:val="auto"/>
        </w:rPr>
      </w:pPr>
    </w:p>
    <w:p>
      <w:pPr>
        <w:ind w:right="10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Collections</w:t>
      </w:r>
      <w:r>
        <w:rPr>
          <w:rFonts w:ascii="Arial" w:cs="Arial" w:eastAsia="Arial" w:hAnsi="Arial"/>
          <w:sz w:val="17"/>
          <w:szCs w:val="17"/>
          <w:color w:val="auto"/>
        </w:rPr>
        <w:t>” means, (i) with respect to any Loan Asset, all payments and collections attributable to interest on such Loan Asset, including, without limitation, all scheduled payments of interest and payments of interest relating to principal prepayments, all guaranty payments attributable to interest and proceeds of any liquidations, sales or dispositions attributable to interest on such Loan Asset and (ii) amendment fees, late fees, waiver fees, prepayment fees or other amounts received in respect of Loan Assets.</w:t>
      </w:r>
    </w:p>
    <w:p>
      <w:pPr>
        <w:spacing w:after="0" w:line="172" w:lineRule="exact"/>
        <w:rPr>
          <w:sz w:val="20"/>
          <w:szCs w:val="20"/>
          <w:color w:val="auto"/>
        </w:rPr>
      </w:pPr>
    </w:p>
    <w:p>
      <w:pPr>
        <w:ind w:right="3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Investment Rating</w:t>
      </w:r>
      <w:r>
        <w:rPr>
          <w:rFonts w:ascii="Arial" w:cs="Arial" w:eastAsia="Arial" w:hAnsi="Arial"/>
          <w:sz w:val="18"/>
          <w:szCs w:val="18"/>
          <w:color w:val="auto"/>
        </w:rPr>
        <w:t>” means the internal investment ratings applied to each Loan Asset by the Servicer in accordance with the standards and specifications established by the Servicer as set forth in the Credit and Collection Policy.</w:t>
      </w:r>
    </w:p>
    <w:p>
      <w:pPr>
        <w:spacing w:after="0" w:line="171" w:lineRule="exact"/>
        <w:rPr>
          <w:sz w:val="20"/>
          <w:szCs w:val="20"/>
          <w:color w:val="auto"/>
        </w:rPr>
      </w:pPr>
    </w:p>
    <w:p>
      <w:pPr>
        <w:ind w:right="8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Rating Adjustment Event</w:t>
      </w:r>
      <w:r>
        <w:rPr>
          <w:rFonts w:ascii="Arial" w:cs="Arial" w:eastAsia="Arial" w:hAnsi="Arial"/>
          <w:sz w:val="18"/>
          <w:szCs w:val="18"/>
          <w:color w:val="auto"/>
        </w:rPr>
        <w:t>” means, as of any date of determination, the occurrence of both: (1) the adjustment of the Internal Investment Rating (i) from any rating to a rating of “3” with respect to any Loan Asset under which the Obligor is in default of the financial covenants set forth therein (without regard to amendments and waivers granted thereunder), or (ii) from any rating to a rating of “4” with respect to any Loan Asset, and (2) the failure by the Servicer and the Borrower to make any subsequent adjustment downward to the Assigned Value of such Loan Asset in connection with such adjustment to the Internal Investment Rating.</w:t>
      </w:r>
    </w:p>
    <w:p>
      <w:pPr>
        <w:spacing w:after="0" w:line="190" w:lineRule="exact"/>
        <w:rPr>
          <w:sz w:val="20"/>
          <w:szCs w:val="20"/>
          <w:color w:val="auto"/>
        </w:rPr>
      </w:pPr>
    </w:p>
    <w:p>
      <w:pPr>
        <w:ind w:right="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00"/>
          </w:cols>
          <w:pgMar w:left="460" w:top="273" w:right="539" w:bottom="1440" w:gutter="0" w:footer="0" w:header="0"/>
        </w:sectPr>
      </w:pPr>
    </w:p>
    <w:bookmarkStart w:id="99" w:name="page100"/>
    <w:bookmarkEnd w:id="99"/>
    <w:p>
      <w:pPr>
        <w:ind w:right="120" w:firstLine="987"/>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Joinder Supplement</w:t>
      </w:r>
      <w:r>
        <w:rPr>
          <w:rFonts w:ascii="Arial" w:cs="Arial" w:eastAsia="Arial" w:hAnsi="Arial"/>
          <w:sz w:val="16"/>
          <w:szCs w:val="16"/>
          <w:color w:val="auto"/>
        </w:rPr>
        <w:t xml:space="preserve">” means an agreement among the Borrower, a Lender, its Lender Agent and the Administrative Agent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to this Agreement (appropriately completed) delivered in connection with a Person becoming a Lender hereunder after the Closing Date.</w:t>
      </w:r>
    </w:p>
    <w:p>
      <w:pPr>
        <w:spacing w:after="0" w:line="125" w:lineRule="exact"/>
        <w:rPr>
          <w:sz w:val="20"/>
          <w:szCs w:val="20"/>
          <w:color w:val="auto"/>
        </w:rPr>
      </w:pPr>
    </w:p>
    <w:p>
      <w:pPr>
        <w:ind w:right="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Large Market Loan Asset</w:t>
      </w:r>
      <w:r>
        <w:rPr>
          <w:rFonts w:ascii="Arial" w:cs="Arial" w:eastAsia="Arial" w:hAnsi="Arial"/>
          <w:sz w:val="18"/>
          <w:szCs w:val="18"/>
          <w:color w:val="auto"/>
        </w:rPr>
        <w:t xml:space="preserve">” means a Loan Asset for which the EBITDA of the related Obligor thereof (determined on a quarterly basis for the most recent trailing four-quarters, as set forth in the quarterly report delivered pursuant to </w:t>
      </w:r>
      <w:r>
        <w:rPr>
          <w:rFonts w:ascii="Arial" w:cs="Arial" w:eastAsia="Arial" w:hAnsi="Arial"/>
          <w:sz w:val="18"/>
          <w:szCs w:val="18"/>
          <w:u w:val="single" w:color="auto"/>
          <w:color w:val="auto"/>
        </w:rPr>
        <w:t>Section 6.08(f)(iii)</w:t>
      </w:r>
      <w:r>
        <w:rPr>
          <w:rFonts w:ascii="Arial" w:cs="Arial" w:eastAsia="Arial" w:hAnsi="Arial"/>
          <w:sz w:val="18"/>
          <w:szCs w:val="18"/>
          <w:color w:val="auto"/>
        </w:rPr>
        <w:t>) is greater than or equal to $20,000,000.</w:t>
      </w:r>
    </w:p>
    <w:p>
      <w:pPr>
        <w:spacing w:after="0" w:line="182" w:lineRule="exact"/>
        <w:rPr>
          <w:sz w:val="20"/>
          <w:szCs w:val="20"/>
          <w:color w:val="auto"/>
        </w:rPr>
      </w:pPr>
    </w:p>
    <w:p>
      <w:pPr>
        <w:ind w:right="2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means collectively, any Institutional Lender, the Conduit Lenders, the Liquidity Banks or any other Person to whom an Institutional Lender, a Conduit Lender or Liquidity Bank assigns any part of its rights and obligations under this Agreement and the other Transaction Documents in accordance with the terms of </w:t>
      </w:r>
      <w:r>
        <w:rPr>
          <w:rFonts w:ascii="Arial" w:cs="Arial" w:eastAsia="Arial" w:hAnsi="Arial"/>
          <w:sz w:val="18"/>
          <w:szCs w:val="18"/>
          <w:u w:val="single" w:color="auto"/>
          <w:color w:val="auto"/>
        </w:rPr>
        <w:t>Section 12.04</w:t>
      </w:r>
      <w:r>
        <w:rPr>
          <w:rFonts w:ascii="Arial" w:cs="Arial" w:eastAsia="Arial" w:hAnsi="Arial"/>
          <w:sz w:val="18"/>
          <w:szCs w:val="18"/>
          <w:color w:val="auto"/>
        </w:rPr>
        <w:t>.</w:t>
      </w:r>
    </w:p>
    <w:p>
      <w:pPr>
        <w:spacing w:after="0" w:line="182" w:lineRule="exact"/>
        <w:rPr>
          <w:sz w:val="20"/>
          <w:szCs w:val="20"/>
          <w:color w:val="auto"/>
        </w:rPr>
      </w:pPr>
    </w:p>
    <w:p>
      <w:pPr>
        <w:ind w:right="100" w:firstLine="987"/>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Agent</w:t>
      </w:r>
      <w:r>
        <w:rPr>
          <w:rFonts w:ascii="Arial" w:cs="Arial" w:eastAsia="Arial" w:hAnsi="Arial"/>
          <w:sz w:val="16"/>
          <w:szCs w:val="16"/>
          <w:color w:val="auto"/>
        </w:rPr>
        <w:t>” means, with respect to (i) the Lender Group containing CRC Funding, LLC or any other Citi Conduit, Citibank, (ii) each other Conduit Lender and Liquidity Bank which may from time to time become party hereto, the Person designated as the “Lender Agent” with respect to such Conduit Lender or such Liquidity Bank in the applicable Joinder Supplement and (iii) each Institutional Lender which may from time to time become a party hereto, such Institutional Lender as Lender Agent for itself, and, in each case, each of their respective successors and assigns.</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Group</w:t>
      </w:r>
      <w:r>
        <w:rPr>
          <w:rFonts w:ascii="Arial" w:cs="Arial" w:eastAsia="Arial" w:hAnsi="Arial"/>
          <w:sz w:val="16"/>
          <w:szCs w:val="16"/>
          <w:color w:val="auto"/>
        </w:rPr>
        <w:t>” means (i) a group consisting of related Conduit Lenders, their related Liquidity Banks and their related Lender Agent and</w:t>
      </w:r>
    </w:p>
    <w:p>
      <w:pPr>
        <w:spacing w:after="0" w:line="46" w:lineRule="exact"/>
        <w:rPr>
          <w:sz w:val="20"/>
          <w:szCs w:val="20"/>
          <w:color w:val="auto"/>
        </w:rPr>
      </w:pPr>
    </w:p>
    <w:p>
      <w:pPr>
        <w:ind w:right="660" w:firstLine="2"/>
        <w:spacing w:after="0" w:line="258" w:lineRule="auto"/>
        <w:tabs>
          <w:tab w:leader="none" w:pos="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 respect to each Institutional Lender, such Institutional Lender, as Lender and as Lender Agent for itself, and, in each case, each of their respective successors and assigns.</w:t>
      </w:r>
    </w:p>
    <w:p>
      <w:pPr>
        <w:spacing w:after="0" w:line="185" w:lineRule="exact"/>
        <w:rPr>
          <w:sz w:val="20"/>
          <w:szCs w:val="20"/>
          <w:color w:val="auto"/>
        </w:rPr>
      </w:pPr>
    </w:p>
    <w:p>
      <w:pPr>
        <w:ind w:right="1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with respect to Daily LIBOR Advances, the Daily LIBOR and, with respect to Fixed LIBOR Advances, the applicable Fixed LIBOR.</w:t>
      </w:r>
    </w:p>
    <w:p>
      <w:pPr>
        <w:spacing w:after="0" w:line="171" w:lineRule="exact"/>
        <w:rPr>
          <w:sz w:val="20"/>
          <w:szCs w:val="20"/>
          <w:color w:val="auto"/>
        </w:rPr>
      </w:pPr>
    </w:p>
    <w:p>
      <w:pPr>
        <w:ind w:right="40" w:firstLine="98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or deed of trust, pledge, hypothecation, collateral assignment, deposit arrangement, encumbrance, lien (statutory or other), charge, claim, preference, priority or other security interest or preferential arrangement in the nature of a security interest of any kind or nature whatsoever (including any conditional sale, lease or other title retention agreement, sale subject to a repurchase obligation, any easement, right of way or other encumbrance on title to real property, and any financing lease having substantially the same economic effect as any of the foregoing) or the filing of or agreement to give any financing statement perfecting a security interest under the UCC or comparable law of any jurisdiction.</w:t>
      </w:r>
    </w:p>
    <w:p>
      <w:pPr>
        <w:spacing w:after="0" w:line="191"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 Agreement</w:t>
      </w:r>
      <w:r>
        <w:rPr>
          <w:rFonts w:ascii="Arial" w:cs="Arial" w:eastAsia="Arial" w:hAnsi="Arial"/>
          <w:sz w:val="18"/>
          <w:szCs w:val="18"/>
          <w:color w:val="auto"/>
        </w:rPr>
        <w:t>” means (i) with respect to any Liquidity Bank other than Citibank, any agreement entered into in connection with this Agreement pursuant to which a Liquidity Bank agrees to make purchases from or advances to, or purchase assets from, any Conduit Lender in order to provide liquidity support for such Conduit Lender’s Advances hereunder and (b) in the case of Citibank, the secondary market agreement, asset purchase agreement or other similar liquidity agreement entered into by Citibank for the benefit of the Conduit Lenders for which it is acting as Liquidity Bank, to the extent relating to the sale or transfer of interests in Advances.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60" w:top="273" w:right="499" w:bottom="1440" w:gutter="0" w:footer="0" w:header="0"/>
        </w:sectPr>
      </w:pPr>
    </w:p>
    <w:bookmarkStart w:id="100" w:name="page101"/>
    <w:bookmarkEnd w:id="10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Liquidity Bank</w:t>
      </w:r>
      <w:r>
        <w:rPr>
          <w:rFonts w:ascii="Arial" w:cs="Arial" w:eastAsia="Arial" w:hAnsi="Arial"/>
          <w:sz w:val="18"/>
          <w:szCs w:val="18"/>
          <w:color w:val="auto"/>
        </w:rPr>
        <w:t>” means Citibank, N.A.</w:t>
      </w:r>
    </w:p>
    <w:p>
      <w:pPr>
        <w:spacing w:after="0" w:line="223" w:lineRule="exact"/>
        <w:rPr>
          <w:sz w:val="20"/>
          <w:szCs w:val="20"/>
          <w:color w:val="auto"/>
        </w:rPr>
      </w:pPr>
    </w:p>
    <w:p>
      <w:pPr>
        <w:jc w:val="both"/>
        <w:ind w:right="2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Agreement</w:t>
      </w:r>
      <w:r>
        <w:rPr>
          <w:rFonts w:ascii="Arial" w:cs="Arial" w:eastAsia="Arial" w:hAnsi="Arial"/>
          <w:sz w:val="18"/>
          <w:szCs w:val="18"/>
          <w:color w:val="auto"/>
        </w:rPr>
        <w:t>” means the loan agreement, credit agreement or other agreement pursuant to which a Loan Asset has been issued or created and each other agreement that governs the terms of or secures the obligations represented by such Loan Asset or of which the holders of such Loan Asset are the beneficiaries.</w:t>
      </w:r>
    </w:p>
    <w:p>
      <w:pPr>
        <w:spacing w:after="0" w:line="182" w:lineRule="exact"/>
        <w:rPr>
          <w:sz w:val="20"/>
          <w:szCs w:val="20"/>
          <w:color w:val="auto"/>
        </w:rPr>
      </w:pPr>
    </w:p>
    <w:p>
      <w:pPr>
        <w:ind w:firstLine="98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Asset</w:t>
      </w:r>
      <w:r>
        <w:rPr>
          <w:rFonts w:ascii="Arial" w:cs="Arial" w:eastAsia="Arial" w:hAnsi="Arial"/>
          <w:sz w:val="16"/>
          <w:szCs w:val="16"/>
          <w:color w:val="auto"/>
        </w:rPr>
        <w:t>” means any loan or loan participation originated by the Borrower or originated or acquired by the Transferor in the ordinary course of its business, which loan or loan participation includes, without limitation, (i) the Required Loan Documents and Loan Asset File, and (ii) all right, title and interest of the Transferor in and to the loan or loan participation and any Underlying Collateral, but excluding, in each case, any Retained Interest and any Excluded Amounts and which loan or loan participation was originated by the Borrower and approved and certified as an “Eligible Loan Asset” by the Transferor or was acquired by the Borrower from the Transferor, in each case, under the Contribution Agreement and owned by the Borrower on the initial Advance Date (as set forth on the Loan Asset Schedule delivered on the initial Advance Date) or originated by the Borrower and approved and certified as an “Eligible Loan Asset” by the Transferor or acquired by the Borrower from the Transferor, in each case, under the Contribution Agreement after the initial Advance Date pursuant to the delivery of a Loan Assignment and listed on Schedule I to the Loan Assignment.</w:t>
      </w:r>
    </w:p>
    <w:p>
      <w:pPr>
        <w:spacing w:after="0" w:line="169" w:lineRule="exact"/>
        <w:rPr>
          <w:sz w:val="20"/>
          <w:szCs w:val="20"/>
          <w:color w:val="auto"/>
        </w:rPr>
      </w:pPr>
    </w:p>
    <w:p>
      <w:pPr>
        <w:jc w:val="both"/>
        <w:ind w:right="2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 Checklist</w:t>
      </w:r>
      <w:r>
        <w:rPr>
          <w:rFonts w:ascii="Arial" w:cs="Arial" w:eastAsia="Arial" w:hAnsi="Arial"/>
          <w:sz w:val="18"/>
          <w:szCs w:val="18"/>
          <w:color w:val="auto"/>
        </w:rPr>
        <w:t>” means an electronic or hard copy, as applicable, of a checklist delivered by or on behalf of the Borrower to the Collateral Custodian and the Backup Servicer, for each Loan Asset, of all Required Loan Documents to be included within the respective Loan Asset File, which shall specify whether such document is an original or a copy.</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 Dividend</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2.07(d)</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 Dividend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2.07(d)</w:t>
      </w:r>
      <w:r>
        <w:rPr>
          <w:rFonts w:ascii="Arial" w:cs="Arial" w:eastAsia="Arial" w:hAnsi="Arial"/>
          <w:sz w:val="18"/>
          <w:szCs w:val="18"/>
          <w:color w:val="auto"/>
        </w:rPr>
        <w:t>.</w:t>
      </w:r>
    </w:p>
    <w:p>
      <w:pPr>
        <w:spacing w:after="0" w:line="223" w:lineRule="exact"/>
        <w:rPr>
          <w:sz w:val="20"/>
          <w:szCs w:val="20"/>
          <w:color w:val="auto"/>
        </w:rPr>
      </w:pPr>
    </w:p>
    <w:p>
      <w:pPr>
        <w:jc w:val="both"/>
        <w:ind w:right="8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Asset Dividend Date</w:t>
      </w:r>
      <w:r>
        <w:rPr>
          <w:rFonts w:ascii="Arial" w:cs="Arial" w:eastAsia="Arial" w:hAnsi="Arial"/>
          <w:sz w:val="17"/>
          <w:szCs w:val="17"/>
          <w:color w:val="auto"/>
        </w:rPr>
        <w:t xml:space="preserve">” means any Business Day prior to the Commitment Termination Date identified by the Borrower in a written notice to the Administrative Agent, Collateral Agent and Collateral Custodian of its intent to effect an Loan Asset Dividend on a date not more than 45 days’ and at least 20 days’ following the delivery date of such written notice, all in accordance with </w:t>
      </w:r>
      <w:r>
        <w:rPr>
          <w:rFonts w:ascii="Arial" w:cs="Arial" w:eastAsia="Arial" w:hAnsi="Arial"/>
          <w:sz w:val="17"/>
          <w:szCs w:val="17"/>
          <w:u w:val="single" w:color="auto"/>
          <w:color w:val="auto"/>
        </w:rPr>
        <w:t>Section 2.07(d)</w:t>
      </w:r>
      <w:r>
        <w:rPr>
          <w:rFonts w:ascii="Arial" w:cs="Arial" w:eastAsia="Arial" w:hAnsi="Arial"/>
          <w:sz w:val="17"/>
          <w:szCs w:val="17"/>
          <w:color w:val="auto"/>
        </w:rPr>
        <w:t>.</w:t>
      </w:r>
    </w:p>
    <w:p>
      <w:pPr>
        <w:spacing w:after="0" w:line="166" w:lineRule="exact"/>
        <w:rPr>
          <w:sz w:val="20"/>
          <w:szCs w:val="20"/>
          <w:color w:val="auto"/>
        </w:rPr>
      </w:pPr>
    </w:p>
    <w:p>
      <w:pPr>
        <w:ind w:right="1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 File</w:t>
      </w:r>
      <w:r>
        <w:rPr>
          <w:rFonts w:ascii="Arial" w:cs="Arial" w:eastAsia="Arial" w:hAnsi="Arial"/>
          <w:sz w:val="18"/>
          <w:szCs w:val="18"/>
          <w:color w:val="auto"/>
        </w:rPr>
        <w:t>” means, with respect to each Loan Asset, a file containing (a) each of the documents and items as set forth on the Loan Asset Checklist with respect to such Loan Asset and (b) duly executed originals (to the extent required by the Servicing Standard) and copies of any other Records relating to such Loan Assets and Portfolio Assets pertaining thereto.</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Asset 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5.03(m)(i)</w:t>
      </w:r>
      <w:r>
        <w:rPr>
          <w:rFonts w:ascii="Arial" w:cs="Arial" w:eastAsia="Arial" w:hAnsi="Arial"/>
          <w:sz w:val="18"/>
          <w:szCs w:val="18"/>
          <w:color w:val="auto"/>
        </w:rPr>
        <w:t>.</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460" w:top="273" w:right="539" w:bottom="1440" w:gutter="0" w:footer="0" w:header="0"/>
        </w:sectPr>
      </w:pPr>
    </w:p>
    <w:bookmarkStart w:id="101" w:name="page102"/>
    <w:bookmarkEnd w:id="101"/>
    <w:p>
      <w:pPr>
        <w:ind w:right="480" w:firstLine="987"/>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Loan Asset Schedule</w:t>
      </w:r>
      <w:r>
        <w:rPr>
          <w:rFonts w:ascii="Arial" w:cs="Arial" w:eastAsia="Arial" w:hAnsi="Arial"/>
          <w:sz w:val="18"/>
          <w:szCs w:val="18"/>
          <w:color w:val="auto"/>
        </w:rPr>
        <w:t xml:space="preserve">” means the schedule of Loan Agreements evidencing Loan Assets delivered by the Borrower to the Collateral Custodian and the Administrative Agent. Each such schedule shall set forth, as to any Eligible Loan Asset to be Pledged hereunder, the applicable information specified on </w:t>
      </w:r>
      <w:r>
        <w:rPr>
          <w:rFonts w:ascii="Arial" w:cs="Arial" w:eastAsia="Arial" w:hAnsi="Arial"/>
          <w:sz w:val="18"/>
          <w:szCs w:val="18"/>
          <w:u w:val="single" w:color="auto"/>
          <w:color w:val="auto"/>
        </w:rPr>
        <w:t>Schedule IV</w:t>
      </w:r>
      <w:r>
        <w:rPr>
          <w:rFonts w:ascii="Arial" w:cs="Arial" w:eastAsia="Arial" w:hAnsi="Arial"/>
          <w:sz w:val="18"/>
          <w:szCs w:val="18"/>
          <w:color w:val="auto"/>
        </w:rPr>
        <w:t>, which shall also be provided to the Collateral Custodian in electronic format acceptable to the Collateral Custodian.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Assignment</w:t>
      </w:r>
      <w:r>
        <w:rPr>
          <w:rFonts w:ascii="Arial" w:cs="Arial" w:eastAsia="Arial" w:hAnsi="Arial"/>
          <w:sz w:val="18"/>
          <w:szCs w:val="18"/>
          <w:color w:val="auto"/>
        </w:rPr>
        <w:t>” has the meaning assigned to that term in the Contribution Agreement.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Equity Cushion</w:t>
      </w:r>
      <w:r>
        <w:rPr>
          <w:rFonts w:ascii="Arial" w:cs="Arial" w:eastAsia="Arial" w:hAnsi="Arial"/>
          <w:sz w:val="17"/>
          <w:szCs w:val="17"/>
          <w:color w:val="auto"/>
        </w:rPr>
        <w:t xml:space="preserve">” means, as of any date of determination, an amount equal to at least the Minimum Credit Enhancement </w:t>
      </w:r>
      <w:r>
        <w:rPr>
          <w:rFonts w:ascii="Arial" w:cs="Arial" w:eastAsia="Arial" w:hAnsi="Arial"/>
          <w:sz w:val="17"/>
          <w:szCs w:val="17"/>
          <w:i w:val="1"/>
          <w:iCs w:val="1"/>
          <w:color w:val="auto"/>
        </w:rPr>
        <w:t>plus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$1,000,000.</w:t>
      </w:r>
    </w:p>
    <w:p>
      <w:pPr>
        <w:spacing w:after="0" w:line="208"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Majority Lenders</w:t>
      </w:r>
      <w:r>
        <w:rPr>
          <w:rFonts w:ascii="Arial" w:cs="Arial" w:eastAsia="Arial" w:hAnsi="Arial"/>
          <w:sz w:val="18"/>
          <w:szCs w:val="18"/>
          <w:color w:val="auto"/>
        </w:rPr>
        <w:t xml:space="preserve">” means Liquidity Banks and Institutional Lenders representing an aggregate of more than 50% of the Maximum Facility Amount at such time (which, so long as there exists at least two unaffiliated Lender Groups, shall be comprised of at least two Lender Groups that are not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Commitments of Defaulting Lenders shall be excluded for the purposes of making a determination of Majority Lenders.</w:t>
      </w:r>
    </w:p>
    <w:p>
      <w:pPr>
        <w:spacing w:after="0" w:line="185" w:lineRule="exact"/>
        <w:rPr>
          <w:sz w:val="20"/>
          <w:szCs w:val="20"/>
          <w:color w:val="auto"/>
        </w:rPr>
      </w:pPr>
    </w:p>
    <w:p>
      <w:pPr>
        <w:ind w:right="220" w:firstLine="987"/>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Agreements</w:t>
      </w:r>
      <w:r>
        <w:rPr>
          <w:rFonts w:ascii="Arial" w:cs="Arial" w:eastAsia="Arial" w:hAnsi="Arial"/>
          <w:sz w:val="16"/>
          <w:szCs w:val="16"/>
          <w:color w:val="auto"/>
        </w:rPr>
        <w:t>” means, collectively, (i) the Investment Advisory Management Agreement, dated as of February 24, 2011, between Solar Capital and Solar Capital Partners, LLC, and (ii) the Administration Agreement, dated as of February 24, 2011, between Solar Capital and SLR Capital Management, LLC or upon consummation of the Merger, any equivalent agreement with respect to SLR Capital Management, LLC.</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w:t>
      </w:r>
      <w:r>
        <w:rPr>
          <w:rFonts w:ascii="Arial" w:cs="Arial" w:eastAsia="Arial" w:hAnsi="Arial"/>
          <w:sz w:val="18"/>
          <w:szCs w:val="18"/>
          <w:u w:val="single" w:color="auto"/>
          <w:color w:val="auto"/>
        </w:rPr>
        <w:t>margin stock</w:t>
      </w:r>
      <w:r>
        <w:rPr>
          <w:rFonts w:ascii="Arial" w:cs="Arial" w:eastAsia="Arial" w:hAnsi="Arial"/>
          <w:sz w:val="18"/>
          <w:szCs w:val="18"/>
          <w:color w:val="auto"/>
        </w:rPr>
        <w:t>” as such term is defined in Regulation T, U or X of the Federal Reserve Board.</w:t>
      </w:r>
    </w:p>
    <w:p>
      <w:pPr>
        <w:spacing w:after="0" w:line="223" w:lineRule="exact"/>
        <w:rPr>
          <w:sz w:val="20"/>
          <w:szCs w:val="20"/>
          <w:color w:val="auto"/>
        </w:rPr>
      </w:pPr>
    </w:p>
    <w:p>
      <w:pPr>
        <w:ind w:right="140" w:firstLine="98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with respect to any event or circumstance, a material adverse effect on (a) the business, condition (financial or otherwise), operations, performance or properties of the Transferor, the Servicer or the Borrower, (b) the validity, enforceability or collectability of this Agreement or any other Transaction Document or the validity, enforceability or collectability of the Loan Assets generally or any material portion of the Loan Assets, (c) the rights and remedies of the Collateral Agent, the Collateral Custodian, the Backup Servicer, the Account Bank, the Administrative Agent, any Lender, any Lender Agent and the Secured Parties with respect to matters arising under this Agreement or any other Transaction Document, (d) the ability of each of the Borrower and the Servicer, to perform their respective obligations under this Agreement or any other Transaction Document, or (e) the status, existence, perfection, priority or enforceability of the Collateral Agent’s, the Administrative Agent’s or the other Secured Parties’ lien on the Collateral Portfolio.</w:t>
      </w:r>
    </w:p>
    <w:p>
      <w:pPr>
        <w:spacing w:after="0" w:line="182"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Modification</w:t>
      </w:r>
      <w:r>
        <w:rPr>
          <w:rFonts w:ascii="Arial" w:cs="Arial" w:eastAsia="Arial" w:hAnsi="Arial"/>
          <w:sz w:val="18"/>
          <w:szCs w:val="18"/>
          <w:color w:val="auto"/>
        </w:rPr>
        <w:t>” means any amendment or waiver of, or modification or supplement to, a Loan Agreement governing a Loan Asset executed or effected on or after the Cut-Off Date for such Loan Asset which:</w:t>
      </w:r>
    </w:p>
    <w:p>
      <w:pPr>
        <w:spacing w:after="0" w:line="63" w:lineRule="exact"/>
        <w:rPr>
          <w:sz w:val="20"/>
          <w:szCs w:val="20"/>
          <w:color w:val="auto"/>
        </w:rPr>
      </w:pPr>
    </w:p>
    <w:p>
      <w:pPr>
        <w:ind w:left="1600" w:hanging="212"/>
        <w:spacing w:after="0"/>
        <w:tabs>
          <w:tab w:leader="none" w:pos="1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reduces or forgives any or all of the principal amount due under such Loan Asset;</w:t>
      </w:r>
    </w:p>
    <w:p>
      <w:pPr>
        <w:spacing w:after="0" w:line="115" w:lineRule="exact"/>
        <w:rPr>
          <w:rFonts w:ascii="Arial" w:cs="Arial" w:eastAsia="Arial" w:hAnsi="Arial"/>
          <w:sz w:val="18"/>
          <w:szCs w:val="18"/>
          <w:color w:val="auto"/>
        </w:rPr>
      </w:pPr>
    </w:p>
    <w:p>
      <w:pPr>
        <w:ind w:left="1660" w:hanging="272"/>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delays or extends the maturity date for such Loan Asset;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460" w:top="273" w:right="479" w:bottom="1440" w:gutter="0" w:footer="0" w:header="0"/>
        </w:sectPr>
      </w:pPr>
    </w:p>
    <w:bookmarkStart w:id="102" w:name="page103"/>
    <w:bookmarkEnd w:id="102"/>
    <w:p>
      <w:pPr>
        <w:ind w:left="980" w:right="60" w:firstLine="408"/>
        <w:spacing w:after="0" w:line="277" w:lineRule="auto"/>
        <w:tabs>
          <w:tab w:leader="none" w:pos="1692"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waives one or more cash interest payments, permits any interest due in cash to be deferred or capitalized and added to the principal amount of such Loan Asset, or reduces the cash spread or cash coupon with respect to such Loan Asset to less than (i) 8.00% for a Fixed Rate Loan Asset and (ii) LIBOR </w:t>
      </w:r>
      <w:r>
        <w:rPr>
          <w:rFonts w:ascii="Arial" w:cs="Arial" w:eastAsia="Arial" w:hAnsi="Arial"/>
          <w:sz w:val="17"/>
          <w:szCs w:val="17"/>
          <w:i w:val="1"/>
          <w:iCs w:val="1"/>
          <w:color w:val="auto"/>
        </w:rPr>
        <w:t>plus</w:t>
      </w:r>
      <w:r>
        <w:rPr>
          <w:rFonts w:ascii="Arial" w:cs="Arial" w:eastAsia="Arial" w:hAnsi="Arial"/>
          <w:sz w:val="17"/>
          <w:szCs w:val="17"/>
          <w:color w:val="auto"/>
        </w:rPr>
        <w:t xml:space="preserve"> 3.00% for a Floating Rate Loan Asset, in each case, in connection with the occurrence of financial or operational difficulties affecting the Obligor under the related Loan Agreement;</w:t>
      </w:r>
    </w:p>
    <w:p>
      <w:pPr>
        <w:spacing w:after="0" w:line="65" w:lineRule="exact"/>
        <w:rPr>
          <w:rFonts w:ascii="Arial" w:cs="Arial" w:eastAsia="Arial" w:hAnsi="Arial"/>
          <w:sz w:val="17"/>
          <w:szCs w:val="17"/>
          <w:color w:val="auto"/>
        </w:rPr>
      </w:pPr>
    </w:p>
    <w:p>
      <w:pPr>
        <w:ind w:left="980" w:right="140" w:firstLine="408"/>
        <w:spacing w:after="0" w:line="269" w:lineRule="auto"/>
        <w:tabs>
          <w:tab w:leader="none" w:pos="1682" w:val="left"/>
        </w:tabs>
        <w:numPr>
          <w:ilvl w:val="0"/>
          <w:numId w:val="56"/>
        </w:numPr>
        <w:rPr>
          <w:rFonts w:ascii="Arial" w:cs="Arial" w:eastAsia="Arial" w:hAnsi="Arial"/>
          <w:sz w:val="17"/>
          <w:szCs w:val="17"/>
          <w:color w:val="auto"/>
        </w:rPr>
      </w:pPr>
      <w:r>
        <w:rPr>
          <w:rFonts w:ascii="Arial" w:cs="Arial" w:eastAsia="Arial" w:hAnsi="Arial"/>
          <w:sz w:val="17"/>
          <w:szCs w:val="17"/>
          <w:color w:val="auto"/>
        </w:rPr>
        <w:t>(1) in the case of a Unitranche Loan Asset, grants Liens (other than Permitted Liens) on any of the Underlying Collateral securing such Loan Asset, (2) in the case of a Unitranche Loan Asset or First Lien Loan Asset, contractually or structurally subordinates such Loan Asset by operation of a priority of payments, turnover provisions, the transfer of assets in order to limit recourse to the related Obligor or the granting of Liens (other than Permitted Liens) on any of the Underlying Collateral securing such Loan Asset or (3) in the case of a Second Lien Loan Asset, contractually or structurally subordinates such Loan Asset to any obligation (other than the first lien loan which existed at the Cut-Off Date for such Loan Asset) by operation of a priority of payments, turnover provisions, the transfer of assets in order to limit recourse to the related Obligor or the granting of Liens (other than Permitted Liens) on any of the Underlying Collateral securing such Loan Asset; or</w:t>
      </w:r>
    </w:p>
    <w:p>
      <w:pPr>
        <w:spacing w:after="0" w:line="74" w:lineRule="exact"/>
        <w:rPr>
          <w:rFonts w:ascii="Arial" w:cs="Arial" w:eastAsia="Arial" w:hAnsi="Arial"/>
          <w:sz w:val="17"/>
          <w:szCs w:val="17"/>
          <w:color w:val="auto"/>
        </w:rPr>
      </w:pPr>
    </w:p>
    <w:p>
      <w:pPr>
        <w:jc w:val="both"/>
        <w:ind w:left="980" w:right="20" w:firstLine="408"/>
        <w:spacing w:after="0" w:line="339" w:lineRule="auto"/>
        <w:tabs>
          <w:tab w:leader="none" w:pos="16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substitutes, alters or releases the Underlying Collateral securing such Loan Asset and each such substitution, alteration or release, as determined in the sole reasonable discretion of the Administrative Agent, materially and adversely affects the value of such Loan Asset.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Availability</w:t>
      </w:r>
      <w:r>
        <w:rPr>
          <w:rFonts w:ascii="Arial" w:cs="Arial" w:eastAsia="Arial" w:hAnsi="Arial"/>
          <w:sz w:val="18"/>
          <w:szCs w:val="18"/>
          <w:color w:val="auto"/>
        </w:rPr>
        <w:t>” means the lesser of (i) the Maximum Facility Amount, and (ii) the Maximum Draw Amount.</w:t>
      </w:r>
    </w:p>
    <w:p>
      <w:pPr>
        <w:spacing w:after="0" w:line="223" w:lineRule="exact"/>
        <w:rPr>
          <w:sz w:val="20"/>
          <w:szCs w:val="20"/>
          <w:color w:val="auto"/>
        </w:rPr>
      </w:pPr>
    </w:p>
    <w:p>
      <w:pPr>
        <w:ind w:firstLine="98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Draw Amount</w:t>
      </w:r>
      <w:r>
        <w:rPr>
          <w:rFonts w:ascii="Arial" w:cs="Arial" w:eastAsia="Arial" w:hAnsi="Arial"/>
          <w:sz w:val="17"/>
          <w:szCs w:val="17"/>
          <w:color w:val="auto"/>
        </w:rPr>
        <w:t xml:space="preserve">” means, at any time and utilizing Dollar Equivalents, the sum of the Borrowing Base </w:t>
      </w:r>
      <w:r>
        <w:rPr>
          <w:rFonts w:ascii="Arial" w:cs="Arial" w:eastAsia="Arial" w:hAnsi="Arial"/>
          <w:sz w:val="17"/>
          <w:szCs w:val="17"/>
          <w:i w:val="1"/>
          <w:iCs w:val="1"/>
          <w:color w:val="auto"/>
        </w:rPr>
        <w:t>plus</w:t>
      </w:r>
      <w:r>
        <w:rPr>
          <w:rFonts w:ascii="Arial" w:cs="Arial" w:eastAsia="Arial" w:hAnsi="Arial"/>
          <w:sz w:val="17"/>
          <w:szCs w:val="17"/>
          <w:color w:val="auto"/>
        </w:rPr>
        <w:t xml:space="preserve"> (solely to the extent not included in the calculation of the Borrowing Base) the aggregate Principal Collections received and distributed as repayment of principal amounts of Advances Outstanding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at or (without duplication of any amounts previously distributed) prior to such time and any other amounts received by the Lenders to repay the principal amounts of Advances Outstanding pursuant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or otherwise at or prior to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Maximum Draw Amount shall not be increased by any Available Collections or other amounts if at any time such Available Collections or other amounts are rescinded, unavailable for distribution or must be returned for any reason.</w:t>
      </w:r>
    </w:p>
    <w:p>
      <w:pPr>
        <w:spacing w:after="0" w:line="176" w:lineRule="exact"/>
        <w:rPr>
          <w:sz w:val="20"/>
          <w:szCs w:val="20"/>
          <w:color w:val="auto"/>
        </w:rPr>
      </w:pPr>
    </w:p>
    <w:p>
      <w:pPr>
        <w:jc w:val="both"/>
        <w:ind w:right="1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Facility Amount</w:t>
      </w:r>
      <w:r>
        <w:rPr>
          <w:rFonts w:ascii="Arial" w:cs="Arial" w:eastAsia="Arial" w:hAnsi="Arial"/>
          <w:sz w:val="18"/>
          <w:szCs w:val="18"/>
          <w:color w:val="auto"/>
        </w:rPr>
        <w:t xml:space="preserve">” means the Aggregate Total Commitments as then in effect, which amount on the Closing Date shall equal $225,000,000;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after the Revolving Period, the Maximum Facility Amount shall mean the aggregate Advances Outstanding at such time.</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means the merger between SLR Senior Investment Corp., as the merging entity, and SLR Investment Corp., as the surviving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460" w:top="273" w:right="499" w:bottom="1440" w:gutter="0" w:footer="0" w:header="0"/>
        </w:sectPr>
      </w:pPr>
    </w:p>
    <w:bookmarkStart w:id="103" w:name="page104"/>
    <w:bookmarkEnd w:id="103"/>
    <w:p>
      <w:pPr>
        <w:ind w:right="160" w:firstLine="987"/>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Mid-Market Loan Asset</w:t>
      </w:r>
      <w:r>
        <w:rPr>
          <w:rFonts w:ascii="Arial" w:cs="Arial" w:eastAsia="Arial" w:hAnsi="Arial"/>
          <w:sz w:val="16"/>
          <w:szCs w:val="16"/>
          <w:color w:val="auto"/>
        </w:rPr>
        <w:t xml:space="preserve">” means a Loan Asset for which the EBITDA of the related Obligor thereof (determined on a quarterly basis for the most recent trailing four-quarters, as set forth in the quarterly report delivered pursuant to </w:t>
      </w:r>
      <w:r>
        <w:rPr>
          <w:rFonts w:ascii="Arial" w:cs="Arial" w:eastAsia="Arial" w:hAnsi="Arial"/>
          <w:sz w:val="16"/>
          <w:szCs w:val="16"/>
          <w:u w:val="single" w:color="auto"/>
          <w:color w:val="auto"/>
        </w:rPr>
        <w:t>Section 6.08(f)(iii)</w:t>
      </w:r>
      <w:r>
        <w:rPr>
          <w:rFonts w:ascii="Arial" w:cs="Arial" w:eastAsia="Arial" w:hAnsi="Arial"/>
          <w:sz w:val="16"/>
          <w:szCs w:val="16"/>
          <w:color w:val="auto"/>
        </w:rPr>
        <w:t>) is less than $20,000,000.</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Credit Enhancement</w:t>
      </w:r>
      <w:r>
        <w:rPr>
          <w:rFonts w:ascii="Arial" w:cs="Arial" w:eastAsia="Arial" w:hAnsi="Arial"/>
          <w:sz w:val="18"/>
          <w:szCs w:val="18"/>
          <w:color w:val="auto"/>
        </w:rPr>
        <w:t>” means, as of any date of determination, the greater of (1) $25,000,000, and (2) the following:</w:t>
      </w:r>
    </w:p>
    <w:p>
      <w:pPr>
        <w:spacing w:after="0" w:line="115" w:lineRule="exact"/>
        <w:rPr>
          <w:sz w:val="20"/>
          <w:szCs w:val="20"/>
          <w:color w:val="auto"/>
        </w:rPr>
      </w:pPr>
    </w:p>
    <w:p>
      <w:pPr>
        <w:ind w:left="1100" w:hanging="239"/>
        <w:spacing w:after="0"/>
        <w:tabs>
          <w:tab w:leader="none" w:pos="11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all times other than during a Borrowing Base Cure Period, the sum of</w:t>
      </w:r>
    </w:p>
    <w:p>
      <w:pPr>
        <w:spacing w:after="0" w:line="115" w:lineRule="exact"/>
        <w:rPr>
          <w:rFonts w:ascii="Arial" w:cs="Arial" w:eastAsia="Arial" w:hAnsi="Arial"/>
          <w:sz w:val="18"/>
          <w:szCs w:val="18"/>
          <w:color w:val="auto"/>
        </w:rPr>
      </w:pPr>
    </w:p>
    <w:p>
      <w:pPr>
        <w:ind w:left="980" w:right="980" w:firstLine="408"/>
        <w:spacing w:after="0" w:line="275" w:lineRule="auto"/>
        <w:tabs>
          <w:tab w:leader="none" w:pos="1593" w:val="left"/>
        </w:tabs>
        <w:numPr>
          <w:ilvl w:val="1"/>
          <w:numId w:val="57"/>
        </w:numPr>
        <w:rPr>
          <w:rFonts w:ascii="Arial" w:cs="Arial" w:eastAsia="Arial" w:hAnsi="Arial"/>
          <w:sz w:val="18"/>
          <w:szCs w:val="18"/>
          <w:color w:val="auto"/>
        </w:rPr>
      </w:pPr>
      <w:r>
        <w:rPr>
          <w:rFonts w:ascii="Arial" w:cs="Arial" w:eastAsia="Arial" w:hAnsi="Arial"/>
          <w:sz w:val="18"/>
          <w:szCs w:val="18"/>
          <w:color w:val="auto"/>
        </w:rPr>
        <w:t>30% of the aggregate Outstanding Loan Balance of all First Lien Broadly Syndicated Loan Assets, other than Excess Concentration Amounts for all First Lien Broadly Syndicated Loan Assets, if any;</w:t>
      </w:r>
    </w:p>
    <w:p>
      <w:pPr>
        <w:spacing w:after="0" w:line="63" w:lineRule="exact"/>
        <w:rPr>
          <w:rFonts w:ascii="Arial" w:cs="Arial" w:eastAsia="Arial" w:hAnsi="Arial"/>
          <w:sz w:val="18"/>
          <w:szCs w:val="18"/>
          <w:color w:val="auto"/>
        </w:rPr>
      </w:pPr>
    </w:p>
    <w:p>
      <w:pPr>
        <w:ind w:left="980" w:right="180" w:firstLine="408"/>
        <w:spacing w:after="0" w:line="275" w:lineRule="auto"/>
        <w:tabs>
          <w:tab w:leader="none" w:pos="1642" w:val="left"/>
        </w:tabs>
        <w:numPr>
          <w:ilvl w:val="1"/>
          <w:numId w:val="57"/>
        </w:numPr>
        <w:rPr>
          <w:rFonts w:ascii="Arial" w:cs="Arial" w:eastAsia="Arial" w:hAnsi="Arial"/>
          <w:sz w:val="18"/>
          <w:szCs w:val="18"/>
          <w:color w:val="auto"/>
        </w:rPr>
      </w:pPr>
      <w:r>
        <w:rPr>
          <w:rFonts w:ascii="Arial" w:cs="Arial" w:eastAsia="Arial" w:hAnsi="Arial"/>
          <w:sz w:val="18"/>
          <w:szCs w:val="18"/>
          <w:color w:val="auto"/>
        </w:rPr>
        <w:t>32.5% of the aggregate Outstanding Loan Balance of all First Lien Large Market Loan Assets, other than Excess Concentration Amounts for all First Lien Large Market Loan Assets, if any;</w:t>
      </w:r>
    </w:p>
    <w:p>
      <w:pPr>
        <w:spacing w:after="0" w:line="63" w:lineRule="exact"/>
        <w:rPr>
          <w:rFonts w:ascii="Arial" w:cs="Arial" w:eastAsia="Arial" w:hAnsi="Arial"/>
          <w:sz w:val="18"/>
          <w:szCs w:val="18"/>
          <w:color w:val="auto"/>
        </w:rPr>
      </w:pPr>
    </w:p>
    <w:p>
      <w:pPr>
        <w:ind w:left="980" w:right="320" w:firstLine="408"/>
        <w:spacing w:after="0" w:line="277" w:lineRule="auto"/>
        <w:tabs>
          <w:tab w:leader="none" w:pos="1692" w:val="left"/>
        </w:tabs>
        <w:numPr>
          <w:ilvl w:val="1"/>
          <w:numId w:val="57"/>
        </w:numPr>
        <w:rPr>
          <w:rFonts w:ascii="Arial" w:cs="Arial" w:eastAsia="Arial" w:hAnsi="Arial"/>
          <w:sz w:val="17"/>
          <w:szCs w:val="17"/>
          <w:color w:val="auto"/>
        </w:rPr>
      </w:pPr>
      <w:r>
        <w:rPr>
          <w:rFonts w:ascii="Arial" w:cs="Arial" w:eastAsia="Arial" w:hAnsi="Arial"/>
          <w:sz w:val="17"/>
          <w:szCs w:val="17"/>
          <w:color w:val="auto"/>
        </w:rPr>
        <w:t>35% of the aggregate Outstanding Loan Balance of all First Lien Loan Assets (other than Healthcare Loan Assets, First Lien Broadly Syndicated Loan Assets, First Lien Large Market Loan Assets, Unitranche Loan Assets and Asset Based Loans), other than Excess Concentration Amounts for all First Lien Loan Assets (other than Healthcare Loan Assets, First Lien Broadly Syndicated Loan Assets, First Lien Large Market Loan Assets, Unitranche Loan Assets and Asset Based Loans), if any;</w:t>
      </w:r>
    </w:p>
    <w:p>
      <w:pPr>
        <w:spacing w:after="0" w:line="65" w:lineRule="exact"/>
        <w:rPr>
          <w:rFonts w:ascii="Arial" w:cs="Arial" w:eastAsia="Arial" w:hAnsi="Arial"/>
          <w:sz w:val="17"/>
          <w:szCs w:val="17"/>
          <w:color w:val="auto"/>
        </w:rPr>
      </w:pPr>
    </w:p>
    <w:p>
      <w:pPr>
        <w:ind w:left="980" w:firstLine="408"/>
        <w:spacing w:after="0" w:line="258" w:lineRule="auto"/>
        <w:tabs>
          <w:tab w:leader="none" w:pos="16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(1) 32.5% of the aggregate Loan Outstanding Balance of Unitranche Loan Assets for which the EBITDA of the related Obligor is more than $50,000,000 and the Total Debt/EBITDA Ratio is less than 5.75:1.00 and (2) 35% of the aggregate Loan Outstanding Balance of all other Unitranche Loan Assets that are Eligible Loan Assets, other than the Excess Concentration Amount for all such Unitranche Loan Assets, if any;</w:t>
      </w:r>
    </w:p>
    <w:p>
      <w:pPr>
        <w:spacing w:after="0" w:line="77" w:lineRule="exact"/>
        <w:rPr>
          <w:rFonts w:ascii="Arial" w:cs="Arial" w:eastAsia="Arial" w:hAnsi="Arial"/>
          <w:sz w:val="18"/>
          <w:szCs w:val="18"/>
          <w:color w:val="auto"/>
        </w:rPr>
      </w:pPr>
    </w:p>
    <w:p>
      <w:pPr>
        <w:ind w:left="980" w:right="220" w:firstLine="408"/>
        <w:spacing w:after="0" w:line="275" w:lineRule="auto"/>
        <w:tabs>
          <w:tab w:leader="none" w:pos="16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65% of the aggregate Outstanding Loan Balance of all Second Lien Loan Assets other than Excess Concentration Amounts for Second Lien Loan Assets, if any;</w:t>
      </w:r>
    </w:p>
    <w:p>
      <w:pPr>
        <w:spacing w:after="0" w:line="63" w:lineRule="exact"/>
        <w:rPr>
          <w:rFonts w:ascii="Arial" w:cs="Arial" w:eastAsia="Arial" w:hAnsi="Arial"/>
          <w:sz w:val="18"/>
          <w:szCs w:val="18"/>
          <w:color w:val="auto"/>
        </w:rPr>
      </w:pPr>
    </w:p>
    <w:p>
      <w:pPr>
        <w:ind w:left="980" w:right="440" w:firstLine="408"/>
        <w:spacing w:after="0" w:line="275" w:lineRule="auto"/>
        <w:tabs>
          <w:tab w:leader="none" w:pos="1682" w:val="left"/>
        </w:tabs>
        <w:numPr>
          <w:ilvl w:val="1"/>
          <w:numId w:val="57"/>
        </w:numPr>
        <w:rPr>
          <w:rFonts w:ascii="Arial" w:cs="Arial" w:eastAsia="Arial" w:hAnsi="Arial"/>
          <w:sz w:val="18"/>
          <w:szCs w:val="18"/>
          <w:color w:val="auto"/>
        </w:rPr>
      </w:pPr>
      <w:r>
        <w:rPr>
          <w:rFonts w:ascii="Arial" w:cs="Arial" w:eastAsia="Arial" w:hAnsi="Arial"/>
          <w:sz w:val="18"/>
          <w:szCs w:val="18"/>
          <w:color w:val="auto"/>
        </w:rPr>
        <w:t>40% of the aggregate Outstanding Loan Balance of all Healthcare Loan Assets that are Eligible Loan Assets, other than the Excess Concentration Amount for all Healthcare Loan Assets, if any; and</w:t>
      </w:r>
    </w:p>
    <w:p>
      <w:pPr>
        <w:spacing w:after="0" w:line="63" w:lineRule="exact"/>
        <w:rPr>
          <w:rFonts w:ascii="Arial" w:cs="Arial" w:eastAsia="Arial" w:hAnsi="Arial"/>
          <w:sz w:val="18"/>
          <w:szCs w:val="18"/>
          <w:color w:val="auto"/>
        </w:rPr>
      </w:pPr>
    </w:p>
    <w:p>
      <w:pPr>
        <w:ind w:left="980" w:right="180" w:firstLine="408"/>
        <w:spacing w:after="0" w:line="275" w:lineRule="auto"/>
        <w:tabs>
          <w:tab w:leader="none" w:pos="1732" w:val="left"/>
        </w:tabs>
        <w:numPr>
          <w:ilvl w:val="1"/>
          <w:numId w:val="57"/>
        </w:numPr>
        <w:rPr>
          <w:rFonts w:ascii="Arial" w:cs="Arial" w:eastAsia="Arial" w:hAnsi="Arial"/>
          <w:sz w:val="18"/>
          <w:szCs w:val="18"/>
          <w:color w:val="auto"/>
        </w:rPr>
      </w:pPr>
      <w:r>
        <w:rPr>
          <w:rFonts w:ascii="Arial" w:cs="Arial" w:eastAsia="Arial" w:hAnsi="Arial"/>
          <w:sz w:val="18"/>
          <w:szCs w:val="18"/>
          <w:color w:val="auto"/>
        </w:rPr>
        <w:t>40% of the aggregate Outstanding Loan Balance of all Asset Based Loans that are Eligible Loan Assets, other than the Excess Concentration Amount for all Asset Based Loans, if 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60" w:top="273" w:right="479" w:bottom="1440" w:gutter="0" w:footer="0" w:header="0"/>
        </w:sectPr>
      </w:pPr>
    </w:p>
    <w:bookmarkStart w:id="104" w:name="page105"/>
    <w:bookmarkEnd w:id="104"/>
    <w:p>
      <w:pPr>
        <w:ind w:left="1120" w:hanging="259"/>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during the continuance of a Borrowing Base Cure Period, the sum of</w:t>
      </w:r>
    </w:p>
    <w:p>
      <w:pPr>
        <w:spacing w:after="0" w:line="115" w:lineRule="exact"/>
        <w:rPr>
          <w:rFonts w:ascii="Arial" w:cs="Arial" w:eastAsia="Arial" w:hAnsi="Arial"/>
          <w:sz w:val="18"/>
          <w:szCs w:val="18"/>
          <w:color w:val="auto"/>
        </w:rPr>
      </w:pPr>
    </w:p>
    <w:p>
      <w:pPr>
        <w:ind w:left="980" w:right="800" w:firstLine="408"/>
        <w:spacing w:after="0" w:line="275" w:lineRule="auto"/>
        <w:tabs>
          <w:tab w:leader="none" w:pos="1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30% of the aggregate Outstanding Loan Balance of all First Lien Broadly Syndicated Loan Assets, other than Excess Concentration Amounts for all First Lien Broadly Syndicated Loan Assets, if any;</w:t>
      </w:r>
    </w:p>
    <w:p>
      <w:pPr>
        <w:spacing w:after="0" w:line="63" w:lineRule="exact"/>
        <w:rPr>
          <w:rFonts w:ascii="Arial" w:cs="Arial" w:eastAsia="Arial" w:hAnsi="Arial"/>
          <w:sz w:val="18"/>
          <w:szCs w:val="18"/>
          <w:color w:val="auto"/>
        </w:rPr>
      </w:pPr>
    </w:p>
    <w:p>
      <w:pPr>
        <w:ind w:left="980" w:firstLine="408"/>
        <w:spacing w:after="0" w:line="275" w:lineRule="auto"/>
        <w:tabs>
          <w:tab w:leader="none" w:pos="1642" w:val="left"/>
        </w:tabs>
        <w:numPr>
          <w:ilvl w:val="1"/>
          <w:numId w:val="58"/>
        </w:numPr>
        <w:rPr>
          <w:rFonts w:ascii="Arial" w:cs="Arial" w:eastAsia="Arial" w:hAnsi="Arial"/>
          <w:sz w:val="18"/>
          <w:szCs w:val="18"/>
          <w:color w:val="auto"/>
        </w:rPr>
      </w:pPr>
      <w:r>
        <w:rPr>
          <w:rFonts w:ascii="Arial" w:cs="Arial" w:eastAsia="Arial" w:hAnsi="Arial"/>
          <w:sz w:val="18"/>
          <w:szCs w:val="18"/>
          <w:color w:val="auto"/>
        </w:rPr>
        <w:t>32.5% of the aggregate Outstanding Loan Balance of all First Lien Large Market Loan Assets, other than Excess Concentration Amounts for all First Lien Large Market Loan Assets, if any;</w:t>
      </w:r>
    </w:p>
    <w:p>
      <w:pPr>
        <w:spacing w:after="0" w:line="63" w:lineRule="exact"/>
        <w:rPr>
          <w:rFonts w:ascii="Arial" w:cs="Arial" w:eastAsia="Arial" w:hAnsi="Arial"/>
          <w:sz w:val="18"/>
          <w:szCs w:val="18"/>
          <w:color w:val="auto"/>
        </w:rPr>
      </w:pPr>
    </w:p>
    <w:p>
      <w:pPr>
        <w:jc w:val="both"/>
        <w:ind w:left="980" w:firstLine="408"/>
        <w:spacing w:after="0" w:line="277" w:lineRule="auto"/>
        <w:tabs>
          <w:tab w:leader="none" w:pos="1692" w:val="left"/>
        </w:tabs>
        <w:numPr>
          <w:ilvl w:val="1"/>
          <w:numId w:val="58"/>
        </w:numPr>
        <w:rPr>
          <w:rFonts w:ascii="Arial" w:cs="Arial" w:eastAsia="Arial" w:hAnsi="Arial"/>
          <w:sz w:val="17"/>
          <w:szCs w:val="17"/>
          <w:color w:val="auto"/>
        </w:rPr>
      </w:pPr>
      <w:r>
        <w:rPr>
          <w:rFonts w:ascii="Arial" w:cs="Arial" w:eastAsia="Arial" w:hAnsi="Arial"/>
          <w:sz w:val="17"/>
          <w:szCs w:val="17"/>
          <w:color w:val="auto"/>
        </w:rPr>
        <w:t>35% of the aggregate Outstanding Loan Balance of all First Lien Loan Assets (other than Healthcare Loan Assets, First Lien Broadly Syndicated Loan Assets, Asset Based Loans and First Lien Large Market Loan Assets) and Unitranche Loan Assets other than Excess Concentration Amounts for all First Lien Loan Assets (other than Healthcare Loan Assets, Asset Based Loans First Lien Broadly Syndicated Loan Assets and First Lien Large Market Loan Assets) and Unitranche Loan Assets, if any;</w:t>
      </w:r>
    </w:p>
    <w:p>
      <w:pPr>
        <w:spacing w:after="0" w:line="65" w:lineRule="exact"/>
        <w:rPr>
          <w:rFonts w:ascii="Arial" w:cs="Arial" w:eastAsia="Arial" w:hAnsi="Arial"/>
          <w:sz w:val="17"/>
          <w:szCs w:val="17"/>
          <w:color w:val="auto"/>
        </w:rPr>
      </w:pPr>
    </w:p>
    <w:p>
      <w:pPr>
        <w:ind w:left="980" w:firstLine="408"/>
        <w:spacing w:after="0" w:line="275" w:lineRule="auto"/>
        <w:tabs>
          <w:tab w:leader="none" w:pos="16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65% of the aggregate Outstanding Loan Balance of all Second Lien Loan Assets other than Excess Concentration Amounts for Second Lien Loan Assets, if any;</w:t>
      </w:r>
    </w:p>
    <w:p>
      <w:pPr>
        <w:spacing w:after="0" w:line="63" w:lineRule="exact"/>
        <w:rPr>
          <w:rFonts w:ascii="Arial" w:cs="Arial" w:eastAsia="Arial" w:hAnsi="Arial"/>
          <w:sz w:val="18"/>
          <w:szCs w:val="18"/>
          <w:color w:val="auto"/>
        </w:rPr>
      </w:pPr>
    </w:p>
    <w:p>
      <w:pPr>
        <w:ind w:left="980" w:right="260" w:firstLine="408"/>
        <w:spacing w:after="0" w:line="275" w:lineRule="auto"/>
        <w:tabs>
          <w:tab w:leader="none" w:pos="16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45% of the aggregate Outstanding Loan Balance of all First Lien Loan Assets (other than Healthcare Loan Assets and Asset Based Loans) that constitute Excess Concentration Assets;</w:t>
      </w:r>
    </w:p>
    <w:p>
      <w:pPr>
        <w:spacing w:after="0" w:line="63" w:lineRule="exact"/>
        <w:rPr>
          <w:rFonts w:ascii="Arial" w:cs="Arial" w:eastAsia="Arial" w:hAnsi="Arial"/>
          <w:sz w:val="18"/>
          <w:szCs w:val="18"/>
          <w:color w:val="auto"/>
        </w:rPr>
      </w:pPr>
    </w:p>
    <w:p>
      <w:pPr>
        <w:ind w:left="980" w:right="260" w:firstLine="408"/>
        <w:spacing w:after="0" w:line="275" w:lineRule="auto"/>
        <w:tabs>
          <w:tab w:leader="none" w:pos="16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40% of the aggregate Outstanding Loan Balance of all Healthcare Loan Assets that are Eligible Loan Assets, other than the Excess Concentration Amount for all Healthcare Loan Assets, if any; and</w:t>
      </w:r>
    </w:p>
    <w:p>
      <w:pPr>
        <w:spacing w:after="0" w:line="63" w:lineRule="exact"/>
        <w:rPr>
          <w:rFonts w:ascii="Arial" w:cs="Arial" w:eastAsia="Arial" w:hAnsi="Arial"/>
          <w:sz w:val="18"/>
          <w:szCs w:val="18"/>
          <w:color w:val="auto"/>
        </w:rPr>
      </w:pPr>
    </w:p>
    <w:p>
      <w:pPr>
        <w:ind w:left="980" w:firstLine="408"/>
        <w:spacing w:after="0" w:line="275" w:lineRule="auto"/>
        <w:tabs>
          <w:tab w:leader="none" w:pos="1732" w:val="left"/>
        </w:tabs>
        <w:numPr>
          <w:ilvl w:val="1"/>
          <w:numId w:val="58"/>
        </w:numPr>
        <w:rPr>
          <w:rFonts w:ascii="Arial" w:cs="Arial" w:eastAsia="Arial" w:hAnsi="Arial"/>
          <w:sz w:val="18"/>
          <w:szCs w:val="18"/>
          <w:color w:val="auto"/>
        </w:rPr>
      </w:pPr>
      <w:r>
        <w:rPr>
          <w:rFonts w:ascii="Arial" w:cs="Arial" w:eastAsia="Arial" w:hAnsi="Arial"/>
          <w:sz w:val="18"/>
          <w:szCs w:val="18"/>
          <w:color w:val="auto"/>
        </w:rPr>
        <w:t>40% of the aggregate Outstanding Loan Balance of all Asset Based Loans that are Eligible Loan Assets, other than the Excess Concentration Amount for all Asset Based Loans, if any.</w:t>
      </w:r>
    </w:p>
    <w:p>
      <w:pPr>
        <w:spacing w:after="0" w:line="63" w:lineRule="exact"/>
        <w:rPr>
          <w:rFonts w:ascii="Arial" w:cs="Arial" w:eastAsia="Arial" w:hAnsi="Arial"/>
          <w:sz w:val="18"/>
          <w:szCs w:val="18"/>
          <w:color w:val="auto"/>
        </w:rPr>
      </w:pPr>
    </w:p>
    <w:p>
      <w:pPr>
        <w:ind w:left="440" w:right="740" w:firstLine="421"/>
        <w:spacing w:after="0" w:line="275" w:lineRule="auto"/>
        <w:tabs>
          <w:tab w:leader="none" w:pos="110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(with respect to both</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(b)</w:t>
      </w:r>
      <w:r>
        <w:rPr>
          <w:rFonts w:ascii="Arial" w:cs="Arial" w:eastAsia="Arial" w:hAnsi="Arial"/>
          <w:sz w:val="18"/>
          <w:szCs w:val="18"/>
          <w:i w:val="1"/>
          <w:iCs w:val="1"/>
          <w:color w:val="auto"/>
        </w:rPr>
        <w:t xml:space="preserve"> </w:t>
      </w:r>
      <w:r>
        <w:rPr>
          <w:rFonts w:ascii="Arial" w:cs="Arial" w:eastAsia="Arial" w:hAnsi="Arial"/>
          <w:sz w:val="18"/>
          <w:szCs w:val="18"/>
          <w:color w:val="auto"/>
        </w:rPr>
        <w:t>above), 5% of the aggregate Outstanding Loan Balance of High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Overconcentration Loan Assets, if any.</w:t>
      </w:r>
    </w:p>
    <w:p>
      <w:pPr>
        <w:spacing w:after="0" w:line="171" w:lineRule="exact"/>
        <w:rPr>
          <w:sz w:val="20"/>
          <w:szCs w:val="20"/>
          <w:color w:val="auto"/>
        </w:rPr>
      </w:pPr>
    </w:p>
    <w:p>
      <w:pPr>
        <w:ind w:right="2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Obligor Diversity Test</w:t>
      </w:r>
      <w:r>
        <w:rPr>
          <w:rFonts w:ascii="Arial" w:cs="Arial" w:eastAsia="Arial" w:hAnsi="Arial"/>
          <w:sz w:val="18"/>
          <w:szCs w:val="18"/>
          <w:color w:val="auto"/>
        </w:rPr>
        <w:t>” means, as of any date of determination, a test that is satisfied if the Eligible Loan Assets represent obligations of no less than thirty-three (33) unaffiliated Obligors.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(or its successors in interest).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w:t>
      </w:r>
      <w:r>
        <w:rPr>
          <w:rFonts w:ascii="Arial" w:cs="Arial" w:eastAsia="Arial" w:hAnsi="Arial"/>
          <w:sz w:val="18"/>
          <w:szCs w:val="18"/>
          <w:color w:val="auto"/>
        </w:rPr>
        <w:t>” means a calendar month.</w:t>
      </w:r>
    </w:p>
    <w:p>
      <w:pPr>
        <w:spacing w:after="0" w:line="1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460" w:top="273" w:right="659" w:bottom="1440" w:gutter="0" w:footer="0" w:header="0"/>
        </w:sectPr>
      </w:pPr>
    </w:p>
    <w:bookmarkStart w:id="105" w:name="page106"/>
    <w:bookmarkEnd w:id="105"/>
    <w:p>
      <w:pPr>
        <w:ind w:right="240" w:firstLine="987"/>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Monthly Delinquency Ratio</w:t>
      </w:r>
      <w:r>
        <w:rPr>
          <w:rFonts w:ascii="Arial" w:cs="Arial" w:eastAsia="Arial" w:hAnsi="Arial"/>
          <w:sz w:val="16"/>
          <w:szCs w:val="16"/>
          <w:color w:val="auto"/>
        </w:rPr>
        <w:t xml:space="preserve">” means, as of any Reporting Date, the amount, expressed as percentage, of (i) the sum of the Outstanding Principal Balances of all Delinquent Assets on such date,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and (ii) the Aggregate Outstanding Principal Balance on such date.</w:t>
      </w:r>
    </w:p>
    <w:p>
      <w:pPr>
        <w:spacing w:after="0" w:line="125" w:lineRule="exact"/>
        <w:rPr>
          <w:sz w:val="20"/>
          <w:szCs w:val="20"/>
          <w:color w:val="auto"/>
        </w:rPr>
      </w:pPr>
    </w:p>
    <w:p>
      <w:pPr>
        <w:ind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Multiemplover Plan</w:t>
      </w:r>
      <w:r>
        <w:rPr>
          <w:rFonts w:ascii="Arial" w:cs="Arial" w:eastAsia="Arial" w:hAnsi="Arial"/>
          <w:sz w:val="18"/>
          <w:szCs w:val="18"/>
          <w:color w:val="auto"/>
        </w:rPr>
        <w:t>” means a “multiemployer plan” as defined in Section 4001(a)(3) of ERISA to which the Borrower or the Servicer, as the case may be, or any ERISA Affiliate of such Person, contributed or had any obligation to contribute on behalf of its employees at any time during the current year or the preceding five years.</w:t>
      </w:r>
    </w:p>
    <w:p>
      <w:pPr>
        <w:spacing w:after="0" w:line="182" w:lineRule="exact"/>
        <w:rPr>
          <w:sz w:val="20"/>
          <w:szCs w:val="20"/>
          <w:color w:val="auto"/>
        </w:rPr>
      </w:pPr>
    </w:p>
    <w:p>
      <w:pPr>
        <w:ind w:right="20" w:firstLine="98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Nationally Recognized Valuation Firm</w:t>
      </w:r>
      <w:r>
        <w:rPr>
          <w:rFonts w:ascii="Arial" w:cs="Arial" w:eastAsia="Arial" w:hAnsi="Arial"/>
          <w:sz w:val="18"/>
          <w:szCs w:val="18"/>
          <w:color w:val="auto"/>
        </w:rPr>
        <w:t>” means (A) with respect to the calculation of Appraised Value or the equivalent with respect to any Asset Based Loan, each of: (i) the firms set forth on Schedule VI and (ii) any other nationally recognized accounting firm or valuation firm approved by the Administrative Agent in its reasonable discretion (not to be unreasonably withheld) and (B) otherwise, each of: (i) Houlihan Lokey Howard &amp; Zukin, (ii) Lincoln International LLC (f/k/a Lincoln Partners LLC), (iii) Duff &amp; Phelps Corp., (iv) Valuation Research Corporation, (v) FTI Consulting, Inc., (vi) Murray Devine, and (vii) any other nationally recognized accounting firm or valuation firm approved by the Administrative Agent in its reasonable discretion (not to be unreasonably withheld).</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Ninth Amendment Effective Date</w:t>
      </w:r>
      <w:r>
        <w:rPr>
          <w:rFonts w:ascii="Arial" w:cs="Arial" w:eastAsia="Arial" w:hAnsi="Arial"/>
          <w:sz w:val="18"/>
          <w:szCs w:val="18"/>
          <w:color w:val="auto"/>
        </w:rPr>
        <w:t>” means June 7, 2021.</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any Liquidity Bank or Institutional Lender that is not a Defaulting Lender.</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Non-Defaulting Lender Group</w:t>
      </w:r>
      <w:r>
        <w:rPr>
          <w:rFonts w:ascii="Arial" w:cs="Arial" w:eastAsia="Arial" w:hAnsi="Arial"/>
          <w:sz w:val="17"/>
          <w:szCs w:val="17"/>
          <w:color w:val="auto"/>
        </w:rPr>
        <w:t>” means, at any time, each Lender Group that does not include a Defaulting Lender at such time.</w:t>
      </w:r>
    </w:p>
    <w:p>
      <w:pPr>
        <w:spacing w:after="0" w:line="23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223" w:lineRule="exact"/>
        <w:rPr>
          <w:sz w:val="20"/>
          <w:szCs w:val="20"/>
          <w:color w:val="auto"/>
        </w:rPr>
      </w:pPr>
    </w:p>
    <w:p>
      <w:pPr>
        <w:ind w:right="1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Noteless Loan Asset</w:t>
      </w:r>
      <w:r>
        <w:rPr>
          <w:rFonts w:ascii="Arial" w:cs="Arial" w:eastAsia="Arial" w:hAnsi="Arial"/>
          <w:sz w:val="18"/>
          <w:szCs w:val="18"/>
          <w:color w:val="auto"/>
        </w:rPr>
        <w:t>” means a Loan Asset with respect to which the Loan Agreements (i) do not require the Obligor to execute and deliver a promissory note to evidence the indebtedness created under such Loan Asset or (ii) require any holder of the indebtedness created under such Loan Asset to affirmatively request a promissory note from the related Obligor.</w:t>
      </w:r>
    </w:p>
    <w:p>
      <w:pPr>
        <w:spacing w:after="0" w:line="182" w:lineRule="exact"/>
        <w:rPr>
          <w:sz w:val="20"/>
          <w:szCs w:val="20"/>
          <w:color w:val="auto"/>
        </w:rPr>
      </w:pPr>
    </w:p>
    <w:p>
      <w:pPr>
        <w:ind w:right="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means an irrevocable written notice of borrowing from the Borrower to the Administrative Agent and each Lender Agent in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1" w:lineRule="exact"/>
        <w:rPr>
          <w:sz w:val="20"/>
          <w:szCs w:val="20"/>
          <w:color w:val="auto"/>
        </w:rPr>
      </w:pPr>
    </w:p>
    <w:p>
      <w:pPr>
        <w:ind w:right="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Exclusive Control</w:t>
      </w:r>
      <w:r>
        <w:rPr>
          <w:rFonts w:ascii="Arial" w:cs="Arial" w:eastAsia="Arial" w:hAnsi="Arial"/>
          <w:sz w:val="18"/>
          <w:szCs w:val="18"/>
          <w:color w:val="auto"/>
        </w:rPr>
        <w:t>” has the meaning specified in the Collection Account Agreement with respect to the Collection Account and the meaning specified in the URCA Account Agreement with respect to the URCA Account.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 of Reduction</w:t>
      </w:r>
      <w:r>
        <w:rPr>
          <w:rFonts w:ascii="Arial" w:cs="Arial" w:eastAsia="Arial" w:hAnsi="Arial"/>
          <w:sz w:val="16"/>
          <w:szCs w:val="16"/>
          <w:color w:val="auto"/>
        </w:rPr>
        <w:t xml:space="preserve">” means a notice of a reduction of the Advances Outstanding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in the form attached hereto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60" w:top="273" w:right="519" w:bottom="1440" w:gutter="0" w:footer="0" w:header="0"/>
        </w:sectPr>
      </w:pPr>
    </w:p>
    <w:bookmarkStart w:id="106" w:name="page107"/>
    <w:bookmarkEnd w:id="106"/>
    <w:p>
      <w:pPr>
        <w:ind w:right="40" w:firstLine="987"/>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present and future indebtedness and other liabilities and obligations (howsoever created, arising or evidenced, whether direct or indirect, absolute or contingent, or due or to become due) of the Borrower to the Lenders, the Lender Agents, the Administrative Agent, the Account Bank, the Collateral Agent or the Collateral Custodian arising under this Agreement or any other Transaction Document and shall include, without limitation, all liability for principal of and interest on the Advances, Breakage Fees, Fees, Hedge Breakage Costs, indemnifications and other amounts due or to become due by the Borrower to the Lenders, the Administrative Agent, the Lender Agents, the Collateral Agent, the Collateral Custodian and the Account Bank under this Agreement or any other Transaction Document, including, without limitation, any Fee Letter and costs and expenses payable by the Borrower to the Lenders, the Administrative Agent, the Lender Agents, the Account Bank, the Collateral Agent or the Collateral Custodian, including reasonable attorneys’ fees, costs and expenses, including without limitation, interest, fees and other obligations that accrue after the commencement of an insolvency proceeding (in each case whether or not allowed as a claim in such insolvency proceeding).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Obligor</w:t>
      </w:r>
      <w:r>
        <w:rPr>
          <w:rFonts w:ascii="Arial" w:cs="Arial" w:eastAsia="Arial" w:hAnsi="Arial"/>
          <w:sz w:val="17"/>
          <w:szCs w:val="17"/>
          <w:color w:val="auto"/>
        </w:rPr>
        <w:t>” means, collectively, each Person obligated to make payments under a Loan Agreement, including any guarantor thereof.</w:t>
      </w:r>
    </w:p>
    <w:p>
      <w:pPr>
        <w:spacing w:after="0" w:line="234" w:lineRule="exact"/>
        <w:rPr>
          <w:sz w:val="20"/>
          <w:szCs w:val="20"/>
          <w:color w:val="auto"/>
        </w:rPr>
      </w:pPr>
    </w:p>
    <w:p>
      <w:pPr>
        <w:ind w:right="6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 Group</w:t>
      </w:r>
      <w:r>
        <w:rPr>
          <w:rFonts w:ascii="Arial" w:cs="Arial" w:eastAsia="Arial" w:hAnsi="Arial"/>
          <w:sz w:val="18"/>
          <w:szCs w:val="18"/>
          <w:color w:val="auto"/>
        </w:rPr>
        <w:t xml:space="preserve">” means, collectively, each Obligor and its direct corporate or entity parents and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that Obligors will not be considered members of the same Obligor Group solely as a result of a relationship based on the direct or indirect ownership of, or control by, a common owner which is a financial institution, asset manager, private equity sponsor, fund, investment vehicle or similar entity which is in the business of making diversified investments.</w:t>
      </w:r>
    </w:p>
    <w:p>
      <w:pPr>
        <w:spacing w:after="0" w:line="185" w:lineRule="exact"/>
        <w:rPr>
          <w:sz w:val="20"/>
          <w:szCs w:val="20"/>
          <w:color w:val="auto"/>
        </w:rPr>
      </w:pPr>
    </w:p>
    <w:p>
      <w:pPr>
        <w:ind w:right="2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the president, the secretary, an assistant secretary, the chief financial officer or any vice president, as an authorized officer, of any Person.</w:t>
      </w:r>
    </w:p>
    <w:p>
      <w:pPr>
        <w:spacing w:after="0" w:line="171" w:lineRule="exact"/>
        <w:rPr>
          <w:sz w:val="20"/>
          <w:szCs w:val="20"/>
          <w:color w:val="auto"/>
        </w:rPr>
      </w:pPr>
    </w:p>
    <w:p>
      <w:pPr>
        <w:ind w:right="30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Opinion of Counsel</w:t>
      </w:r>
      <w:r>
        <w:rPr>
          <w:rFonts w:ascii="Arial" w:cs="Arial" w:eastAsia="Arial" w:hAnsi="Arial"/>
          <w:sz w:val="17"/>
          <w:szCs w:val="17"/>
          <w:color w:val="auto"/>
        </w:rPr>
        <w:t xml:space="preserve">” means a written opinion of counsel, which opinion and counsel are acceptable to the Administrative Agent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Latham &amp; Watkins LLP, Richards, Layton &amp; Finger, P.A., and Sutherland Asbill &amp; Brennan LLP, and with respect to Maryland law matters only, Venable, LLP, shall be considered acceptable counsel for purposes of this definition.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Sale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2.07(c)</w:t>
      </w:r>
      <w:r>
        <w:rPr>
          <w:rFonts w:ascii="Arial" w:cs="Arial" w:eastAsia="Arial" w:hAnsi="Arial"/>
          <w:sz w:val="18"/>
          <w:szCs w:val="18"/>
          <w:color w:val="auto"/>
        </w:rPr>
        <w:t>.</w:t>
      </w:r>
    </w:p>
    <w:p>
      <w:pPr>
        <w:spacing w:after="0" w:line="223" w:lineRule="exact"/>
        <w:rPr>
          <w:sz w:val="20"/>
          <w:szCs w:val="20"/>
          <w:color w:val="auto"/>
        </w:rPr>
      </w:pPr>
    </w:p>
    <w:p>
      <w:pPr>
        <w:jc w:val="both"/>
        <w:ind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Sale Date</w:t>
      </w:r>
      <w:r>
        <w:rPr>
          <w:rFonts w:ascii="Arial" w:cs="Arial" w:eastAsia="Arial" w:hAnsi="Arial"/>
          <w:sz w:val="18"/>
          <w:szCs w:val="18"/>
          <w:color w:val="auto"/>
        </w:rPr>
        <w:t xml:space="preserve">” means any Business Day prior to the Commitment Termination Date identified by the Borrower in a written notice to the Administrative Agent, Collateral Agent and Collateral Custodian of its intent to effect an Optional Sale on a date not more than 45 days’ and at least 20 days’ following the delivery date of such written notice, all in accordance with </w:t>
      </w:r>
      <w:r>
        <w:rPr>
          <w:rFonts w:ascii="Arial" w:cs="Arial" w:eastAsia="Arial" w:hAnsi="Arial"/>
          <w:sz w:val="18"/>
          <w:szCs w:val="18"/>
          <w:u w:val="single" w:color="auto"/>
          <w:color w:val="auto"/>
        </w:rPr>
        <w:t>Section 2.07(c)</w:t>
      </w:r>
      <w:r>
        <w:rPr>
          <w:rFonts w:ascii="Arial" w:cs="Arial" w:eastAsia="Arial" w:hAnsi="Arial"/>
          <w:sz w:val="18"/>
          <w:szCs w:val="18"/>
          <w:color w:val="auto"/>
        </w:rPr>
        <w:t>.</w:t>
      </w:r>
    </w:p>
    <w:p>
      <w:pPr>
        <w:spacing w:after="0" w:line="182" w:lineRule="exact"/>
        <w:rPr>
          <w:sz w:val="20"/>
          <w:szCs w:val="20"/>
          <w:color w:val="auto"/>
        </w:rPr>
      </w:pPr>
    </w:p>
    <w:p>
      <w:pPr>
        <w:ind w:right="20" w:firstLine="98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Loan Balance</w:t>
      </w:r>
      <w:r>
        <w:rPr>
          <w:rFonts w:ascii="Arial" w:cs="Arial" w:eastAsia="Arial" w:hAnsi="Arial"/>
          <w:sz w:val="16"/>
          <w:szCs w:val="16"/>
          <w:color w:val="auto"/>
        </w:rPr>
        <w:t xml:space="preserve">” means for any Loan Asset, for any date of determination (and, with respect to a Foreign Currency Loan Asset, utilizing Dollar Equivalents), an amount equal to the Assigned Value of such Loan Asset at such time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Outstanding Principal Balance of such Loan Asset;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hereby agree that the Outstanding Loan Balance of any Loan Asset that is no longer an Eligible Loan Asset shall equal zero;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if the Effective LTV of any Asset Based Loan exceeds (on any date of determination) the limit for the applicable Loan type set forth below, then the “Outstanding Loan Balance” of such Loan Asset will be automatically (and without any action by the Administrative Agent) reduced by the amount necessary to cause such Loan Asset to comply with the applicable limit set forth below:</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460" w:top="273" w:right="499" w:bottom="1440" w:gutter="0" w:footer="0" w:header="0"/>
        </w:sectPr>
      </w:pPr>
    </w:p>
    <w:bookmarkStart w:id="107" w:name="page108"/>
    <w:bookmarkEnd w:id="107"/>
    <w:tbl>
      <w:tblPr>
        <w:tblLayout w:type="fixed"/>
        <w:tblInd w:w="1760" w:type="dxa"/>
        <w:tblCellMar>
          <w:top w:w="0" w:type="dxa"/>
          <w:left w:w="0" w:type="dxa"/>
          <w:bottom w:w="0" w:type="dxa"/>
          <w:right w:w="0" w:type="dxa"/>
        </w:tblCellMar>
      </w:tblPr>
      <w:tr>
        <w:trPr>
          <w:trHeight w:val="170"/>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Based Loan Type (by collateral source)</w:t>
            </w:r>
          </w:p>
        </w:tc>
        <w:tc>
          <w:tcPr>
            <w:tcW w:w="326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Effective LTV Limit</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working capital Loan Assets</w:t>
            </w:r>
          </w:p>
        </w:tc>
        <w:tc>
          <w:tcPr>
            <w:tcW w:w="326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40" w:type="dxa"/>
            <w:vAlign w:val="bottom"/>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fixed assets Loan Assets</w:t>
            </w:r>
          </w:p>
        </w:tc>
        <w:tc>
          <w:tcPr>
            <w:tcW w:w="4700" w:type="dxa"/>
            <w:vAlign w:val="bottom"/>
            <w:gridSpan w:val="3"/>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Loan Assets</w:t>
            </w:r>
          </w:p>
        </w:tc>
        <w:tc>
          <w:tcPr>
            <w:tcW w:w="4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5500" cy="38100"/>
                    </a:xfrm>
                    <a:prstGeom prst="rect">
                      <a:avLst/>
                    </a:prstGeom>
                    <a:noFill/>
                  </pic:spPr>
                </pic:pic>
              </a:graphicData>
            </a:graphic>
          </wp:anchor>
        </w:drawing>
      </w:r>
    </w:p>
    <w:p>
      <w:pPr>
        <w:jc w:val="both"/>
        <w:ind w:right="16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Principal Balance</w:t>
      </w:r>
      <w:r>
        <w:rPr>
          <w:rFonts w:ascii="Arial" w:cs="Arial" w:eastAsia="Arial" w:hAnsi="Arial"/>
          <w:sz w:val="18"/>
          <w:szCs w:val="18"/>
          <w:color w:val="auto"/>
        </w:rPr>
        <w:t>” means for any Loan Asset, for any date of determination (and, with respect to a Foreign Currency Loan Asset, utilizing Dollar Equivalents), the principal balance of a Loan Asset, expressed exclusive of the portion of the outstanding principal balance of a Loan Asset, if any, that represents interest which has accrued in kind and has been added to the principal balance of such Loan Asset, and any accrued interest.</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12.23(a)(i)</w:t>
      </w:r>
      <w:r>
        <w:rPr>
          <w:rFonts w:ascii="Arial" w:cs="Arial" w:eastAsia="Arial" w:hAnsi="Arial"/>
          <w:sz w:val="18"/>
          <w:szCs w:val="18"/>
          <w:color w:val="auto"/>
        </w:rPr>
        <w:t>.</w:t>
      </w:r>
    </w:p>
    <w:p>
      <w:pPr>
        <w:spacing w:after="0" w:line="223" w:lineRule="exact"/>
        <w:rPr>
          <w:sz w:val="20"/>
          <w:szCs w:val="20"/>
          <w:color w:val="auto"/>
        </w:rPr>
      </w:pPr>
    </w:p>
    <w:p>
      <w:pPr>
        <w:jc w:val="both"/>
        <w:ind w:right="1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w:t>
      </w:r>
      <w:r>
        <w:rPr>
          <w:rFonts w:ascii="Arial" w:cs="Arial" w:eastAsia="Arial" w:hAnsi="Arial"/>
          <w:sz w:val="18"/>
          <w:szCs w:val="18"/>
          <w:color w:val="auto"/>
        </w:rPr>
        <w:t xml:space="preserve">” means the 10th day of each of Month or, if such day is not a Business Day,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final Payment Date shall occur on the Collection Date.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Duties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11.02(b)(ii)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12.23(b)(i)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4.01(z)</w:t>
      </w:r>
      <w:r>
        <w:rPr>
          <w:rFonts w:ascii="Arial" w:cs="Arial" w:eastAsia="Arial" w:hAnsi="Arial"/>
          <w:sz w:val="18"/>
          <w:szCs w:val="18"/>
          <w:color w:val="auto"/>
        </w:rPr>
        <w:t>.</w:t>
      </w:r>
    </w:p>
    <w:p>
      <w:pPr>
        <w:spacing w:after="0" w:line="223" w:lineRule="exact"/>
        <w:rPr>
          <w:sz w:val="20"/>
          <w:szCs w:val="20"/>
          <w:color w:val="auto"/>
        </w:rPr>
      </w:pPr>
    </w:p>
    <w:p>
      <w:pPr>
        <w:ind w:right="120" w:firstLine="987"/>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 Dollar denominated negotiable instruments or securities or other investments (which may include securities or investments in which Citibank or its Affiliates provide services or receive compensation) that (i) except in the case of demand or time deposits, certificates of deposit and investments in money market funds, are represented by instruments in bearer or registered form or ownership of which is represented by book entries by a Clearing Agency or by a Federal Reserve Bank in favor of depository institutions eligible to have an account with such Federal Reserve Bank who hold such investments on behalf of their customers, (ii) as of any date of determination, mature (or, in the case of money market funds, are redeemable) by their terms on or prior to the Business Day preceding the next Payment Date, and (iii) evidence:</w:t>
      </w:r>
    </w:p>
    <w:p>
      <w:pPr>
        <w:spacing w:after="0" w:line="54" w:lineRule="exact"/>
        <w:rPr>
          <w:sz w:val="20"/>
          <w:szCs w:val="20"/>
          <w:color w:val="auto"/>
        </w:rPr>
      </w:pPr>
    </w:p>
    <w:p>
      <w:pPr>
        <w:ind w:left="440" w:firstLine="421"/>
        <w:spacing w:after="0" w:line="275" w:lineRule="auto"/>
        <w:tabs>
          <w:tab w:leader="none" w:pos="11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 obligations of, and obligations fully guaranteed as to full and timely payment by, the United States (or by any agency thereof to the extent such obligations are backed by the full faith and credit of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40"/>
          </w:cols>
          <w:pgMar w:left="460" w:top="264" w:right="499" w:bottom="1440" w:gutter="0" w:footer="0" w:header="0"/>
        </w:sectPr>
      </w:pPr>
    </w:p>
    <w:bookmarkStart w:id="108" w:name="page109"/>
    <w:bookmarkEnd w:id="108"/>
    <w:p>
      <w:pPr>
        <w:ind w:left="440" w:firstLine="421"/>
        <w:spacing w:after="0" w:line="295" w:lineRule="auto"/>
        <w:tabs>
          <w:tab w:leader="none" w:pos="1115" w:val="left"/>
        </w:tabs>
        <w:numPr>
          <w:ilvl w:val="0"/>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certificates of deposit of depository institutions or trust companies incorporated under the laws of the United States or any state thereof and subject to supervision and examination by federal or state banking or depository institution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the Borrower’s investment or contractual commitment to invest therein, the commercial paper, if any, and short-term unsecured debt obligations (other than such obligation whose rating is based on the credit of a Person other than such institution or trust company) of such depository institution or trust company shall have a credit rating from each Rating Agency in the Highest Required Investment Category granted by such Rating Agency;</w:t>
      </w:r>
    </w:p>
    <w:p>
      <w:pPr>
        <w:spacing w:after="0" w:line="51" w:lineRule="exact"/>
        <w:rPr>
          <w:rFonts w:ascii="Arial" w:cs="Arial" w:eastAsia="Arial" w:hAnsi="Arial"/>
          <w:sz w:val="16"/>
          <w:szCs w:val="16"/>
          <w:color w:val="auto"/>
        </w:rPr>
      </w:pPr>
    </w:p>
    <w:p>
      <w:pPr>
        <w:ind w:left="440" w:right="200" w:firstLine="421"/>
        <w:spacing w:after="0" w:line="275" w:lineRule="auto"/>
        <w:tabs>
          <w:tab w:leader="none" w:pos="11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commercial paper obligations having, at the time of the Borrower’s investment or contractual commitment to invest therein, a rating in the Highest Required Investment Category granted by each Rating Agency;</w:t>
      </w:r>
    </w:p>
    <w:p>
      <w:pPr>
        <w:spacing w:after="0" w:line="63" w:lineRule="exact"/>
        <w:rPr>
          <w:rFonts w:ascii="Arial" w:cs="Arial" w:eastAsia="Arial" w:hAnsi="Arial"/>
          <w:sz w:val="18"/>
          <w:szCs w:val="18"/>
          <w:color w:val="auto"/>
        </w:rPr>
      </w:pPr>
    </w:p>
    <w:p>
      <w:pPr>
        <w:ind w:left="440" w:right="260" w:firstLine="421"/>
        <w:spacing w:after="0" w:line="305" w:lineRule="auto"/>
        <w:tabs>
          <w:tab w:leader="none" w:pos="1115"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demand deposits, time deposits or certificates of deposit that are fully insured by the FDIC and are maintained or issued by banks that have a rating on their certificates of deposit or short-term deposits from Moody’s and S&amp;P of “P-1” and “A-1”, respectively;</w:t>
      </w:r>
    </w:p>
    <w:p>
      <w:pPr>
        <w:spacing w:after="0" w:line="40" w:lineRule="exact"/>
        <w:rPr>
          <w:rFonts w:ascii="Arial" w:cs="Arial" w:eastAsia="Arial" w:hAnsi="Arial"/>
          <w:sz w:val="17"/>
          <w:szCs w:val="17"/>
          <w:color w:val="auto"/>
        </w:rPr>
      </w:pPr>
    </w:p>
    <w:p>
      <w:pPr>
        <w:ind w:left="1100" w:hanging="239"/>
        <w:spacing w:after="0"/>
        <w:tabs>
          <w:tab w:leader="none" w:pos="11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notes that are payable on demand or bankers’ acceptances issued by any depository institution or trust company referred to in </w:t>
      </w:r>
      <w:r>
        <w:rPr>
          <w:rFonts w:ascii="Arial" w:cs="Arial" w:eastAsia="Arial" w:hAnsi="Arial"/>
          <w:sz w:val="16"/>
          <w:szCs w:val="16"/>
          <w:u w:val="single" w:color="auto"/>
          <w:color w:val="auto"/>
        </w:rPr>
        <w:t>clause (b)</w:t>
      </w:r>
    </w:p>
    <w:p>
      <w:pPr>
        <w:spacing w:after="0" w:line="45"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100" w:lineRule="exact"/>
        <w:rPr>
          <w:rFonts w:ascii="Arial" w:cs="Arial" w:eastAsia="Arial" w:hAnsi="Arial"/>
          <w:sz w:val="16"/>
          <w:szCs w:val="16"/>
          <w:color w:val="auto"/>
        </w:rPr>
      </w:pPr>
    </w:p>
    <w:p>
      <w:pPr>
        <w:ind w:left="440" w:right="280" w:firstLine="421"/>
        <w:spacing w:after="0" w:line="275" w:lineRule="auto"/>
        <w:tabs>
          <w:tab w:leader="none" w:pos="10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investments in taxable, registered money market funds having, at the time of the Borrower’s investment or contractual commitment to invest therein, a rating of the Highest Required Investment Category from each Rating Agency; or</w:t>
      </w:r>
    </w:p>
    <w:p>
      <w:pPr>
        <w:spacing w:after="0" w:line="63" w:lineRule="exact"/>
        <w:rPr>
          <w:rFonts w:ascii="Arial" w:cs="Arial" w:eastAsia="Arial" w:hAnsi="Arial"/>
          <w:sz w:val="18"/>
          <w:szCs w:val="18"/>
          <w:color w:val="auto"/>
        </w:rPr>
      </w:pPr>
    </w:p>
    <w:p>
      <w:pPr>
        <w:ind w:left="440" w:right="40" w:firstLine="421"/>
        <w:spacing w:after="0" w:line="339" w:lineRule="auto"/>
        <w:tabs>
          <w:tab w:leader="none" w:pos="11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time deposits (having maturities of not more than 90 days) by an entity the commercial paper of which has, at the time of the Borrower’s investment or contractual commitment to invest therein, a rating of the Highest Required Investment Category granted by each Rating Agency.</w:t>
      </w:r>
    </w:p>
    <w:p>
      <w:pPr>
        <w:spacing w:after="0" w:line="125" w:lineRule="exact"/>
        <w:rPr>
          <w:sz w:val="20"/>
          <w:szCs w:val="20"/>
          <w:color w:val="auto"/>
        </w:rPr>
      </w:pPr>
    </w:p>
    <w:p>
      <w:pPr>
        <w:ind w:right="360" w:firstLine="987"/>
        <w:spacing w:after="0" w:line="262" w:lineRule="auto"/>
        <w:rPr>
          <w:sz w:val="20"/>
          <w:szCs w:val="20"/>
          <w:color w:val="auto"/>
        </w:rPr>
      </w:pPr>
      <w:r>
        <w:rPr>
          <w:rFonts w:ascii="Arial" w:cs="Arial" w:eastAsia="Arial" w:hAnsi="Arial"/>
          <w:sz w:val="18"/>
          <w:szCs w:val="18"/>
          <w:color w:val="auto"/>
        </w:rPr>
        <w:t>In connection with the acquisition or disposition of Permitted Investments pursuant to the terms of the Transaction Documents, the Collateral Agent may pursuant to the direction of the Servicer or the Administrative Agent, as applicable, purchase or sell to itself or an Affiliate, as principal or agent, the Permitted Investments described above.</w:t>
      </w:r>
    </w:p>
    <w:p>
      <w:pPr>
        <w:spacing w:after="0" w:line="182" w:lineRule="exact"/>
        <w:rPr>
          <w:sz w:val="20"/>
          <w:szCs w:val="20"/>
          <w:color w:val="auto"/>
        </w:rPr>
      </w:pPr>
    </w:p>
    <w:p>
      <w:pPr>
        <w:ind w:right="20" w:firstLine="98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any of the following as to which no enforcement, collection, execution, levy or foreclosure proceeding shall have been commenced (a) Liens for state, municipal or other local Taxes if such Taxes shall not at the time be due and payable or if a Person shall currently be contesting the validity thereof in good faith by appropriate proceedings and with respect to which reserves in accordance with GAAP have been provided on the books of such Person, (b) Liens imposed by law, such as materialmen’s, warehousemen’s, mechanics’, carriers’, workmen’s and repairmen’s Liens and other similar Liens, arising by operation of law in the ordinary course of business for sums that are not overdue or are being contested in good faith (c) Liens granted pursuant to or by the Transaction Documents, and (d) with respect to the Underlying Collateral for any Loan Asset, “permitted liens” as defined in the applicable Loan Agreement for such Loan Asset or such comparable definition if “permitted liens” is not defined therein.</w:t>
      </w:r>
    </w:p>
    <w:p>
      <w:pPr>
        <w:spacing w:after="0" w:line="189" w:lineRule="exact"/>
        <w:rPr>
          <w:sz w:val="20"/>
          <w:szCs w:val="20"/>
          <w:color w:val="auto"/>
        </w:rPr>
      </w:pPr>
    </w:p>
    <w:p>
      <w:pPr>
        <w:jc w:val="both"/>
        <w:ind w:right="1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means any refinancing transaction undertaken by the Transferor or an Affiliate of the Transferor that is secured, directly or indirectly, by any Loan Asset currently or formerly included in the Collateral Portfolio or any portion thereof or any interest therein released from the Lien of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60" w:top="273" w:right="479" w:bottom="1440" w:gutter="0" w:footer="0" w:header="0"/>
        </w:sectPr>
      </w:pPr>
    </w:p>
    <w:bookmarkStart w:id="109" w:name="page110"/>
    <w:bookmarkEnd w:id="109"/>
    <w:p>
      <w:pPr>
        <w:ind w:right="20" w:firstLine="987"/>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Permitted Securitization</w:t>
      </w:r>
      <w:r>
        <w:rPr>
          <w:rFonts w:ascii="Arial" w:cs="Arial" w:eastAsia="Arial" w:hAnsi="Arial"/>
          <w:sz w:val="18"/>
          <w:szCs w:val="18"/>
          <w:color w:val="auto"/>
        </w:rPr>
        <w:t>” means a private or public term or conduit securitization transaction undertaken by the Transferor, the Borrower or an Affiliate of the Transferor, that is secured, directly or indirectly, by any Loan Asset currently or formerly included in the Collateral Portfolio or any portion thereof or any interest therein released from the Lien of this Agreement, including, without limitation, any collateralized loan obligation or collateralized debt obligation offering or other asset securitization.</w:t>
      </w:r>
    </w:p>
    <w:p>
      <w:pPr>
        <w:spacing w:after="0" w:line="185" w:lineRule="exact"/>
        <w:rPr>
          <w:sz w:val="20"/>
          <w:szCs w:val="20"/>
          <w:color w:val="auto"/>
        </w:rPr>
      </w:pPr>
    </w:p>
    <w:p>
      <w:pPr>
        <w:ind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partnership, corporation (including a statutory or business trust), limited liability company, joint stock company, trust, unincorporated association, sole proprietorship, joint venture, government (or any agency or political subdivision thereof) or other entity.</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w:t>
      </w:r>
      <w:r>
        <w:rPr>
          <w:rFonts w:ascii="Arial" w:cs="Arial" w:eastAsia="Arial" w:hAnsi="Arial"/>
          <w:sz w:val="18"/>
          <w:szCs w:val="18"/>
          <w:color w:val="auto"/>
        </w:rPr>
        <w:t xml:space="preserve">” means the pledge of any Eligible Loan Asset or other Portfolio Asset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3" w:lineRule="exact"/>
        <w:rPr>
          <w:sz w:val="20"/>
          <w:szCs w:val="20"/>
          <w:color w:val="auto"/>
        </w:rPr>
      </w:pPr>
    </w:p>
    <w:p>
      <w:pPr>
        <w:ind w:right="2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Assets</w:t>
      </w:r>
      <w:r>
        <w:rPr>
          <w:rFonts w:ascii="Arial" w:cs="Arial" w:eastAsia="Arial" w:hAnsi="Arial"/>
          <w:sz w:val="18"/>
          <w:szCs w:val="18"/>
          <w:color w:val="auto"/>
        </w:rPr>
        <w:t>” means all Loan Assets owned by the Borrower, together with all proceeds thereof and other assets or property related thereto, including all right, title and interest of the Borrower in and to:</w:t>
      </w:r>
    </w:p>
    <w:p>
      <w:pPr>
        <w:spacing w:after="0" w:line="63" w:lineRule="exact"/>
        <w:rPr>
          <w:sz w:val="20"/>
          <w:szCs w:val="20"/>
          <w:color w:val="auto"/>
        </w:rPr>
      </w:pPr>
    </w:p>
    <w:p>
      <w:pPr>
        <w:ind w:left="1100" w:hanging="239"/>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amounts on deposit in any cash reserve, collection, custody or lockbox accounts securing the Loan Assets;</w:t>
      </w:r>
    </w:p>
    <w:p>
      <w:pPr>
        <w:spacing w:after="0" w:line="115" w:lineRule="exact"/>
        <w:rPr>
          <w:rFonts w:ascii="Arial" w:cs="Arial" w:eastAsia="Arial" w:hAnsi="Arial"/>
          <w:sz w:val="18"/>
          <w:szCs w:val="18"/>
          <w:color w:val="auto"/>
        </w:rPr>
      </w:pPr>
    </w:p>
    <w:p>
      <w:pPr>
        <w:ind w:left="1120" w:hanging="259"/>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rights with respect to the Loan Assets to which the Transferor is entitled as lender under the applicable Loan Agreement;</w:t>
      </w:r>
    </w:p>
    <w:p>
      <w:pPr>
        <w:spacing w:after="0" w:line="115" w:lineRule="exact"/>
        <w:rPr>
          <w:rFonts w:ascii="Arial" w:cs="Arial" w:eastAsia="Arial" w:hAnsi="Arial"/>
          <w:sz w:val="18"/>
          <w:szCs w:val="18"/>
          <w:color w:val="auto"/>
        </w:rPr>
      </w:pPr>
    </w:p>
    <w:p>
      <w:pPr>
        <w:ind w:left="1100" w:hanging="239"/>
        <w:spacing w:after="0"/>
        <w:tabs>
          <w:tab w:leader="none" w:pos="11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Collection Account, together with all cash and investments in each of the foregoing other than amounts earned on investments</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therein;</w:t>
      </w:r>
    </w:p>
    <w:p>
      <w:pPr>
        <w:spacing w:after="0" w:line="100" w:lineRule="exact"/>
        <w:rPr>
          <w:rFonts w:ascii="Arial" w:cs="Arial" w:eastAsia="Arial" w:hAnsi="Arial"/>
          <w:sz w:val="17"/>
          <w:szCs w:val="17"/>
          <w:color w:val="auto"/>
        </w:rPr>
      </w:pPr>
    </w:p>
    <w:p>
      <w:pPr>
        <w:ind w:left="1120" w:hanging="259"/>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URCA Account, together with all cash and investments in each of the foregoing other than amounts earned on investments therein;</w:t>
      </w:r>
    </w:p>
    <w:p>
      <w:pPr>
        <w:spacing w:after="0" w:line="138" w:lineRule="exact"/>
        <w:rPr>
          <w:rFonts w:ascii="Arial" w:cs="Arial" w:eastAsia="Arial" w:hAnsi="Arial"/>
          <w:sz w:val="16"/>
          <w:szCs w:val="16"/>
          <w:color w:val="auto"/>
        </w:rPr>
      </w:pPr>
    </w:p>
    <w:p>
      <w:pPr>
        <w:ind w:left="440" w:right="180" w:firstLine="421"/>
        <w:spacing w:after="0" w:line="305" w:lineRule="auto"/>
        <w:tabs>
          <w:tab w:leader="none" w:pos="110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Underlying Collateral securing a Loan Asset and all Recoveries related thereto, all payments paid in respect thereof and all monies due, to become due and paid in respect thereof accruing after the applicable Cut-Off Date and all liquidation proceeds;</w:t>
      </w:r>
    </w:p>
    <w:p>
      <w:pPr>
        <w:spacing w:after="0" w:line="40" w:lineRule="exact"/>
        <w:rPr>
          <w:rFonts w:ascii="Arial" w:cs="Arial" w:eastAsia="Arial" w:hAnsi="Arial"/>
          <w:sz w:val="17"/>
          <w:szCs w:val="17"/>
          <w:color w:val="auto"/>
        </w:rPr>
      </w:pPr>
    </w:p>
    <w:p>
      <w:pPr>
        <w:ind w:left="440" w:right="620" w:firstLine="421"/>
        <w:spacing w:after="0" w:line="275" w:lineRule="auto"/>
        <w:tabs>
          <w:tab w:leader="none" w:pos="10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Required Loan Documents, the Loan Asset Files related to any Loan Asset, any Records, and the documents, agreements, and instruments included in the Loan Asset Files or Records;</w:t>
      </w:r>
    </w:p>
    <w:p>
      <w:pPr>
        <w:spacing w:after="0" w:line="63" w:lineRule="exact"/>
        <w:rPr>
          <w:rFonts w:ascii="Arial" w:cs="Arial" w:eastAsia="Arial" w:hAnsi="Arial"/>
          <w:sz w:val="18"/>
          <w:szCs w:val="18"/>
          <w:color w:val="auto"/>
        </w:rPr>
      </w:pPr>
    </w:p>
    <w:p>
      <w:pPr>
        <w:ind w:left="1120" w:hanging="259"/>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Insurance Policies with respect to any Loan Asset;</w:t>
      </w:r>
    </w:p>
    <w:p>
      <w:pPr>
        <w:spacing w:after="0" w:line="115" w:lineRule="exact"/>
        <w:rPr>
          <w:rFonts w:ascii="Arial" w:cs="Arial" w:eastAsia="Arial" w:hAnsi="Arial"/>
          <w:sz w:val="18"/>
          <w:szCs w:val="18"/>
          <w:color w:val="auto"/>
        </w:rPr>
      </w:pPr>
    </w:p>
    <w:p>
      <w:pPr>
        <w:jc w:val="both"/>
        <w:ind w:left="440" w:right="280" w:firstLine="421"/>
        <w:spacing w:after="0" w:line="262" w:lineRule="auto"/>
        <w:tabs>
          <w:tab w:leader="none" w:pos="11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Liens, guaranties, indemnities, warranties, letters of credit, accounts, bank accounts and property subject thereto from time to time purporting to secure or support payment of any Loan Asset, together with all UCC financing statements, mortgages or similar filings signed or authorized by an Obligor relating thereto;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60"/>
          </w:cols>
          <w:pgMar w:left="460" w:top="273" w:right="479" w:bottom="1440" w:gutter="0" w:footer="0" w:header="0"/>
        </w:sectPr>
      </w:pPr>
    </w:p>
    <w:bookmarkStart w:id="110" w:name="page111"/>
    <w:bookmarkEnd w:id="110"/>
    <w:p>
      <w:pPr>
        <w:jc w:val="both"/>
        <w:ind w:left="440" w:right="60" w:firstLine="421"/>
        <w:spacing w:after="0" w:line="262" w:lineRule="auto"/>
        <w:tabs>
          <w:tab w:leader="none" w:pos="1075"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Contribution Agreement (including, without limitation, rights of recovery of the Borrower against the Transferor) and the assignment to the Collateral Agent, for the benefit of the Secured Parties, of all UCC financing statements filed by the Borrower against the Transferor under or in connection with the Contribution Agreement;</w:t>
      </w:r>
    </w:p>
    <w:p>
      <w:pPr>
        <w:spacing w:after="0" w:line="74" w:lineRule="exact"/>
        <w:rPr>
          <w:rFonts w:ascii="Arial" w:cs="Arial" w:eastAsia="Arial" w:hAnsi="Arial"/>
          <w:sz w:val="18"/>
          <w:szCs w:val="18"/>
          <w:color w:val="auto"/>
        </w:rPr>
      </w:pPr>
    </w:p>
    <w:p>
      <w:pPr>
        <w:ind w:left="1080" w:hanging="219"/>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records (including computer records) with respect to the foregoing; and</w:t>
      </w:r>
    </w:p>
    <w:p>
      <w:pPr>
        <w:spacing w:after="0" w:line="115" w:lineRule="exact"/>
        <w:rPr>
          <w:rFonts w:ascii="Arial" w:cs="Arial" w:eastAsia="Arial" w:hAnsi="Arial"/>
          <w:sz w:val="18"/>
          <w:szCs w:val="18"/>
          <w:color w:val="auto"/>
        </w:rPr>
      </w:pPr>
    </w:p>
    <w:p>
      <w:pPr>
        <w:ind w:left="1120" w:hanging="259"/>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collections, income, payments, proceeds and other benefits of each of the foregoing.</w:t>
      </w:r>
    </w:p>
    <w:p>
      <w:pPr>
        <w:spacing w:after="0" w:line="223" w:lineRule="exact"/>
        <w:rPr>
          <w:sz w:val="20"/>
          <w:szCs w:val="20"/>
          <w:color w:val="auto"/>
        </w:rPr>
      </w:pPr>
    </w:p>
    <w:p>
      <w:pPr>
        <w:ind w:right="1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rate announced by Citibank from time to time as its prime rate in the United States, such rate to change as and when such designated rate changes. The Prime Rate is not intended to be the lowest rate of interest charged by Citibank or any other specified financial institution in connection with extensions of credit to debtors.</w:t>
      </w:r>
    </w:p>
    <w:p>
      <w:pPr>
        <w:spacing w:after="0" w:line="182" w:lineRule="exact"/>
        <w:rPr>
          <w:sz w:val="20"/>
          <w:szCs w:val="20"/>
          <w:color w:val="auto"/>
        </w:rPr>
      </w:pPr>
    </w:p>
    <w:p>
      <w:pPr>
        <w:ind w:right="2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 Account</w:t>
      </w:r>
      <w:r>
        <w:rPr>
          <w:rFonts w:ascii="Arial" w:cs="Arial" w:eastAsia="Arial" w:hAnsi="Arial"/>
          <w:sz w:val="18"/>
          <w:szCs w:val="18"/>
          <w:color w:val="auto"/>
        </w:rPr>
        <w:t>” means collectively, the sub-accounts (account numbers 83667805 for Dollar deposits, 83667806 for Canadian Dollar deposits, 83667807 for GBP deposits, and 83667808 for Euro deposits, in each case, at the Account Bank) of the Collection Account into which Principal Collections shall be segregated.</w:t>
      </w:r>
    </w:p>
    <w:p>
      <w:pPr>
        <w:spacing w:after="0" w:line="182" w:lineRule="exact"/>
        <w:rPr>
          <w:sz w:val="20"/>
          <w:szCs w:val="20"/>
          <w:color w:val="auto"/>
        </w:rPr>
      </w:pPr>
    </w:p>
    <w:p>
      <w:pPr>
        <w:ind w:right="80" w:firstLine="987"/>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Collections</w:t>
      </w:r>
      <w:r>
        <w:rPr>
          <w:rFonts w:ascii="Arial" w:cs="Arial" w:eastAsia="Arial" w:hAnsi="Arial"/>
          <w:sz w:val="16"/>
          <w:szCs w:val="16"/>
          <w:color w:val="auto"/>
        </w:rPr>
        <w:t xml:space="preserve">” means (i) any amounts deposited by the Borrower in the Collection Account accordance with </w:t>
      </w:r>
      <w:r>
        <w:rPr>
          <w:rFonts w:ascii="Arial" w:cs="Arial" w:eastAsia="Arial" w:hAnsi="Arial"/>
          <w:sz w:val="16"/>
          <w:szCs w:val="16"/>
          <w:u w:val="single" w:color="auto"/>
          <w:color w:val="auto"/>
        </w:rPr>
        <w:t>Section 2.06(a)(i)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with respect to any Loan Asset, all amounts received which are not Interest Collections, including, without limitation, all Recoveries, all Insurance Proceeds, all scheduled payments of principal and principal prepayments and all guaranty payments and proceeds of any Permitted Refinancings, Permitted Securitizations, liquidations, sales or dispositions, in each case, attributable to the principal of such Loan Asset.</w:t>
      </w:r>
    </w:p>
    <w:p>
      <w:pPr>
        <w:spacing w:after="0" w:line="15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means, with respect to each Liquidity Bank and each Institutional Lender, (1) at any time during the Revolving Period</w:t>
      </w:r>
    </w:p>
    <w:p>
      <w:pPr>
        <w:spacing w:after="0" w:line="46" w:lineRule="exact"/>
        <w:rPr>
          <w:sz w:val="20"/>
          <w:szCs w:val="20"/>
          <w:color w:val="auto"/>
        </w:rPr>
      </w:pPr>
    </w:p>
    <w:p>
      <w:pPr>
        <w:ind w:firstLine="2"/>
        <w:spacing w:after="0" w:line="271" w:lineRule="auto"/>
        <w:tabs>
          <w:tab w:leader="none" w:pos="214" w:val="left"/>
        </w:tabs>
        <w:numPr>
          <w:ilvl w:val="0"/>
          <w:numId w:val="63"/>
        </w:numPr>
        <w:rPr>
          <w:rFonts w:ascii="Arial" w:cs="Arial" w:eastAsia="Arial" w:hAnsi="Arial"/>
          <w:sz w:val="17"/>
          <w:szCs w:val="17"/>
          <w:color w:val="auto"/>
        </w:rPr>
      </w:pPr>
      <w:r>
        <w:rPr>
          <w:rFonts w:ascii="Arial" w:cs="Arial" w:eastAsia="Arial" w:hAnsi="Arial"/>
          <w:sz w:val="17"/>
          <w:szCs w:val="17"/>
          <w:color w:val="auto"/>
        </w:rPr>
        <w:t>with respect to the determination of Advances, the Undrawn Percentage of such Liquidity Bank or Institutional Lender, and (ii) with respect to the allocation of Collections on any Payment Date or otherwise in connection with any distribution hereunder, the Drawn Percentage of such Liquidity Bank or Institutional Lender, and (2) on or after the Revolving Period, with respect to the allocation of Collections on any Payment Date or otherwise in connection with any distribution hereunder, such Liquidity Bank’s or Institution Lender’s Funded Percentage,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w:t>
      </w:r>
    </w:p>
    <w:p>
      <w:pPr>
        <w:spacing w:after="0" w:line="115" w:lineRule="exact"/>
        <w:rPr>
          <w:sz w:val="20"/>
          <w:szCs w:val="20"/>
          <w:color w:val="auto"/>
        </w:rPr>
      </w:pPr>
    </w:p>
    <w:p>
      <w:pPr>
        <w:ind w:left="440" w:right="620" w:firstLine="42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Drawn Amount</w:t>
      </w:r>
      <w:r>
        <w:rPr>
          <w:rFonts w:ascii="Arial" w:cs="Arial" w:eastAsia="Arial" w:hAnsi="Arial"/>
          <w:sz w:val="18"/>
          <w:szCs w:val="18"/>
          <w:color w:val="auto"/>
        </w:rPr>
        <w:t>” of each Liquidity Bank and each Institutional Lender, means the Advances Outstanding of such Liquidity Bank or Institutional Lender.</w:t>
      </w:r>
    </w:p>
    <w:p>
      <w:pPr>
        <w:spacing w:after="0" w:line="63" w:lineRule="exact"/>
        <w:rPr>
          <w:sz w:val="20"/>
          <w:szCs w:val="20"/>
          <w:color w:val="auto"/>
        </w:rPr>
      </w:pPr>
    </w:p>
    <w:p>
      <w:pPr>
        <w:jc w:val="both"/>
        <w:ind w:left="440" w:right="500" w:firstLine="4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Drawn Percentage</w:t>
      </w:r>
      <w:r>
        <w:rPr>
          <w:rFonts w:ascii="Arial" w:cs="Arial" w:eastAsia="Arial" w:hAnsi="Arial"/>
          <w:sz w:val="18"/>
          <w:szCs w:val="18"/>
          <w:color w:val="auto"/>
        </w:rPr>
        <w:t>” for any Liquidity Bank or Institutional Lender as of any date of determination, means the amount, expressed as a percentage, obtained by dividing (i) the Drawn Amount of such Liquidity Bank or Institutional Lender, by (ii) Advances Outstanding of all Liquidity Banks and Institutional Lenders.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60"/>
          </w:cols>
          <w:pgMar w:left="460" w:top="273" w:right="479" w:bottom="1440" w:gutter="0" w:footer="0" w:header="0"/>
        </w:sectPr>
      </w:pPr>
    </w:p>
    <w:bookmarkStart w:id="111" w:name="page112"/>
    <w:bookmarkEnd w:id="111"/>
    <w:p>
      <w:pPr>
        <w:ind w:left="440" w:right="280" w:firstLine="421"/>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Funded Percentage</w:t>
      </w:r>
      <w:r>
        <w:rPr>
          <w:rFonts w:ascii="Arial" w:cs="Arial" w:eastAsia="Arial" w:hAnsi="Arial"/>
          <w:sz w:val="18"/>
          <w:szCs w:val="18"/>
          <w:color w:val="auto"/>
        </w:rPr>
        <w:t>” for any Liquidity Bank or Institutional Lender as of any date of determination, means the amount, expressed as a percentage, obtained by dividing (i) the Drawn Amount of such Liquidity Bank or Institutional Lender, by (ii) the Advances Outstanding of all Liquidity Banks and Institutional Lenders.</w:t>
      </w:r>
    </w:p>
    <w:p>
      <w:pPr>
        <w:spacing w:after="0" w:line="75" w:lineRule="exact"/>
        <w:rPr>
          <w:sz w:val="20"/>
          <w:szCs w:val="20"/>
          <w:color w:val="auto"/>
        </w:rPr>
      </w:pPr>
    </w:p>
    <w:p>
      <w:pPr>
        <w:ind w:left="440" w:right="280" w:firstLine="421"/>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Undrawn Amount</w:t>
      </w:r>
      <w:r>
        <w:rPr>
          <w:rFonts w:ascii="Arial" w:cs="Arial" w:eastAsia="Arial" w:hAnsi="Arial"/>
          <w:sz w:val="18"/>
          <w:szCs w:val="18"/>
          <w:color w:val="auto"/>
        </w:rPr>
        <w:t>” for any Liquidity Bank or Institutional Lender as of any date of determination, means the positive difference, if any, between (i) the Total Commitment of such Person, and (ii) the Drawn Amount of such Person.</w:t>
      </w:r>
    </w:p>
    <w:p>
      <w:pPr>
        <w:spacing w:after="0" w:line="63" w:lineRule="exact"/>
        <w:rPr>
          <w:sz w:val="20"/>
          <w:szCs w:val="20"/>
          <w:color w:val="auto"/>
        </w:rPr>
      </w:pPr>
    </w:p>
    <w:p>
      <w:pPr>
        <w:ind w:left="440" w:right="40" w:firstLine="421"/>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Undrawn Percentage</w:t>
      </w:r>
      <w:r>
        <w:rPr>
          <w:rFonts w:ascii="Arial" w:cs="Arial" w:eastAsia="Arial" w:hAnsi="Arial"/>
          <w:sz w:val="18"/>
          <w:szCs w:val="18"/>
          <w:color w:val="auto"/>
        </w:rPr>
        <w:t>” for any Liquidity Bank or Institutional Lender as of any date of determination, means the amount, expressed as a percentage, obtained by dividing (i) the Undrawn Amount of such Liquidity Bank or Institutional Lender, by (ii) the aggregate Undrawn Amounts of all Liquidity Banks and Institutional Lenders.</w:t>
      </w:r>
    </w:p>
    <w:p>
      <w:pPr>
        <w:spacing w:after="0" w:line="182" w:lineRule="exact"/>
        <w:rPr>
          <w:sz w:val="20"/>
          <w:szCs w:val="20"/>
          <w:color w:val="auto"/>
        </w:rPr>
      </w:pPr>
    </w:p>
    <w:p>
      <w:pPr>
        <w:ind w:right="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means, with respect to any Collateral Portfolio, all property that is receivable or received when such Collateral Portfolio is collected, sold, liquidated, foreclosed, exchanged, or otherwise disposed of, whether such disposition is voluntary or involuntary, and includes all rights to payment with respect to any insurance relating to such Collateral Portfolio.</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8" w:lineRule="exact"/>
        <w:rPr>
          <w:sz w:val="20"/>
          <w:szCs w:val="20"/>
          <w:color w:val="auto"/>
        </w:rPr>
      </w:pPr>
    </w:p>
    <w:p>
      <w:pPr>
        <w:ind w:right="620" w:firstLine="987"/>
        <w:spacing w:after="0" w:line="3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Quoted Price</w:t>
      </w:r>
      <w:r>
        <w:rPr>
          <w:rFonts w:ascii="Arial" w:cs="Arial" w:eastAsia="Arial" w:hAnsi="Arial"/>
          <w:sz w:val="15"/>
          <w:szCs w:val="15"/>
          <w:color w:val="auto"/>
        </w:rPr>
        <w:t>” means, with respect to each Loan Asset as of any date, the net value (expressed as a percentage of the Outstanding Principal Balance) of such Loan Asset quoted by a Nationally Recognized Valuation Firm selected by the Agent and valuing such Loan Asset.</w:t>
      </w:r>
    </w:p>
    <w:p>
      <w:pPr>
        <w:spacing w:after="0" w:line="102" w:lineRule="exact"/>
        <w:rPr>
          <w:sz w:val="20"/>
          <w:szCs w:val="20"/>
          <w:color w:val="auto"/>
        </w:rPr>
      </w:pPr>
    </w:p>
    <w:p>
      <w:pPr>
        <w:ind w:right="2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RAC Reporting Date</w:t>
      </w:r>
      <w:r>
        <w:rPr>
          <w:rFonts w:ascii="Arial" w:cs="Arial" w:eastAsia="Arial" w:hAnsi="Arial"/>
          <w:sz w:val="17"/>
          <w:szCs w:val="17"/>
          <w:color w:val="auto"/>
        </w:rPr>
        <w:t>” means the earlier to occur of (i) the date on which the Servicer or the Borrower has actual knowledge that the Servicer is not or will not be in compliance with the Required Asset Coverage Ratio with respect to the immediately prior fiscal quarter, and (ii) the date 45 days following the end of any fiscal quarter on which the Borrower shall fail to deliver to the Administrative Agent written certification that demonstrates that Solar Capital is in compliance with the Required Asset Coverage Ratio as at the end of such fiscal quarter.</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Agency</w:t>
      </w:r>
      <w:r>
        <w:rPr>
          <w:rFonts w:ascii="Arial" w:cs="Arial" w:eastAsia="Arial" w:hAnsi="Arial"/>
          <w:sz w:val="18"/>
          <w:szCs w:val="18"/>
          <w:color w:val="auto"/>
        </w:rPr>
        <w:t>” means each of S&amp;P and Moody’s.</w:t>
      </w:r>
    </w:p>
    <w:p>
      <w:pPr>
        <w:spacing w:after="0" w:line="223"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means all documents relating to the Loan Assets, including books, records and other information executed in connection with the origination or acquisition of the Collateral Portfolio or maintained with respect to the Collateral Portfolio and the related Obligors that the Borrower, the Transferor or the Servicer have generated, in which the Borrower or the Transferor have acquired an interest pursuant to the Contribution Agreement or in which the Borrower or the Transferor have otherwise obtained an interest.</w:t>
      </w:r>
    </w:p>
    <w:p>
      <w:pPr>
        <w:spacing w:after="0" w:line="185" w:lineRule="exact"/>
        <w:rPr>
          <w:sz w:val="20"/>
          <w:szCs w:val="20"/>
          <w:color w:val="auto"/>
        </w:rPr>
      </w:pPr>
    </w:p>
    <w:p>
      <w:pPr>
        <w:ind w:right="100" w:firstLine="98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Recoveries</w:t>
      </w:r>
      <w:r>
        <w:rPr>
          <w:rFonts w:ascii="Arial" w:cs="Arial" w:eastAsia="Arial" w:hAnsi="Arial"/>
          <w:sz w:val="17"/>
          <w:szCs w:val="17"/>
          <w:color w:val="auto"/>
        </w:rPr>
        <w:t xml:space="preserve">” means, as of the time any Underlying Collateral with respect to any Loan Asset that is subject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the definition of “Value Adjustment Event” is sold, discarded or abandoned (after a determination by the Servicer that such Underlying Collateral has little or no remaining value) or otherwise determined to be fully liquidated by the Servicer in accordance with the Credit and Collection Policy and the Servicing Standard, the proceeds from the sale of the Underlying Collateral, the proceeds of any related Insurance Policy, any other recoveries with respect to such Loan Asset, as applicable, the Underlying Collateral, and amounts representing late fees and penalties, net of any amounts received that are required under such Loan Asset, as applicable, to be refunded to the related Obligor.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40"/>
          </w:cols>
          <w:pgMar w:left="460" w:top="273" w:right="499" w:bottom="1440" w:gutter="0" w:footer="0" w:header="0"/>
        </w:sectPr>
      </w:pPr>
    </w:p>
    <w:bookmarkStart w:id="112" w:name="page113"/>
    <w:bookmarkEnd w:id="11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Reference Time</w:t>
      </w:r>
      <w:r>
        <w:rPr>
          <w:rFonts w:ascii="Arial" w:cs="Arial" w:eastAsia="Arial" w:hAnsi="Arial"/>
          <w:sz w:val="16"/>
          <w:szCs w:val="16"/>
          <w:color w:val="auto"/>
        </w:rPr>
        <w:t>” with respect to any setting of the then-current Benchmark means (1) if such Benchmark is Daily LIBOR, 11:00 a.m.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(London time) on the date of such setting and (2) if such Benchmark is not Daily LIBOR, the time determined by the Lender in its reasonable discretion.</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Date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2.07(f)</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48" w:lineRule="exact"/>
        <w:rPr>
          <w:sz w:val="20"/>
          <w:szCs w:val="20"/>
          <w:color w:val="auto"/>
        </w:rPr>
      </w:pPr>
    </w:p>
    <w:p>
      <w:pPr>
        <w:ind w:right="8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Remittance Period</w:t>
      </w:r>
      <w:r>
        <w:rPr>
          <w:rFonts w:ascii="Arial" w:cs="Arial" w:eastAsia="Arial" w:hAnsi="Arial"/>
          <w:sz w:val="18"/>
          <w:szCs w:val="18"/>
          <w:color w:val="auto"/>
        </w:rPr>
        <w:t>” means, (i) as to the Initial Payment Date, the period beginning on the Closing Date and ending on, and including, the Determination Date immediately preceding such Payment Date and (ii) as to any subsequent Payment Date, the period beginning on the first day after the most recently ended Remittance Period and ending on, and including, the Determination Date immediately preceding such Payment Date, or, with respect to the final Remittance Period, the Collection Date.</w:t>
      </w:r>
    </w:p>
    <w:p>
      <w:pPr>
        <w:spacing w:after="0" w:line="181" w:lineRule="exact"/>
        <w:rPr>
          <w:sz w:val="20"/>
          <w:szCs w:val="20"/>
          <w:color w:val="auto"/>
        </w:rPr>
      </w:pPr>
    </w:p>
    <w:p>
      <w:pPr>
        <w:ind w:right="60" w:firstLine="987"/>
        <w:spacing w:after="0" w:line="280"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u w:val="single" w:color="auto"/>
          <w:color w:val="auto"/>
        </w:rPr>
        <w:t>Reportable Event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of the events set forth in Section 4043(c) of ERISA, other than an event for which the 30 day notice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has been waived.</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Servicer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6.01(c)</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Date</w:t>
      </w:r>
      <w:r>
        <w:rPr>
          <w:rFonts w:ascii="Arial" w:cs="Arial" w:eastAsia="Arial" w:hAnsi="Arial"/>
          <w:sz w:val="18"/>
          <w:szCs w:val="18"/>
          <w:color w:val="auto"/>
        </w:rPr>
        <w:t>” means the date that is two Business Days prior to each Payment Date.</w:t>
      </w:r>
    </w:p>
    <w:p>
      <w:pPr>
        <w:spacing w:after="0" w:line="223" w:lineRule="exact"/>
        <w:rPr>
          <w:sz w:val="20"/>
          <w:szCs w:val="20"/>
          <w:color w:val="auto"/>
        </w:rPr>
      </w:pPr>
    </w:p>
    <w:p>
      <w:pPr>
        <w:ind w:right="120" w:firstLine="98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Asset Coverage Ratio</w:t>
      </w:r>
      <w:r>
        <w:rPr>
          <w:rFonts w:ascii="Arial" w:cs="Arial" w:eastAsia="Arial" w:hAnsi="Arial"/>
          <w:sz w:val="16"/>
          <w:szCs w:val="16"/>
          <w:color w:val="auto"/>
        </w:rPr>
        <w:t>” means, as of any date of determination, “asset coverage” (as understood under the 1940 Act) of Solar Capital of (i) at least 200 per centum or, (ii) at least 150 per centum upon the effectiveness of such change under the 1940 Act and following Solar Capital obtaining the approval of such change by (x) a “required majority” (as such term is understood under the 1940 Act) of the board of directors, or</w:t>
      </w:r>
    </w:p>
    <w:p>
      <w:pPr>
        <w:spacing w:after="0" w:line="2" w:lineRule="exact"/>
        <w:rPr>
          <w:sz w:val="20"/>
          <w:szCs w:val="20"/>
          <w:color w:val="auto"/>
        </w:rPr>
      </w:pPr>
    </w:p>
    <w:p>
      <w:pPr>
        <w:ind w:right="160" w:firstLine="2"/>
        <w:spacing w:after="0" w:line="258" w:lineRule="auto"/>
        <w:tabs>
          <w:tab w:leader="none" w:pos="2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majority of votes cast at a special or annual meeting of shareholders, all as determined in accordance with the terms and requirements of the 1940 Act, including Sections 6(f), 18 and 61(a)(1) thereof, and otherwise in accordance with GAAP.</w:t>
      </w:r>
    </w:p>
    <w:p>
      <w:pPr>
        <w:spacing w:after="0" w:line="185" w:lineRule="exact"/>
        <w:rPr>
          <w:sz w:val="20"/>
          <w:szCs w:val="20"/>
          <w:color w:val="auto"/>
        </w:rPr>
      </w:pPr>
    </w:p>
    <w:p>
      <w:pPr>
        <w:ind w:right="2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Liquidity Banks and Institutional Lenders representing an aggregate of more than 66 2/3% of the Maximum Facility Amount at such time (which, so long as there exists at least two unaffiliated Lender Groups, shall be comprised of at least two Lender Groups that are not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Commitments of Defaulting Lenders shall be excluded for the purposes of making a determination of Required Lenders.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60"/>
          </w:cols>
          <w:pgMar w:left="460" w:top="273" w:right="479" w:bottom="1440" w:gutter="0" w:footer="0" w:header="0"/>
        </w:sectPr>
      </w:pPr>
    </w:p>
    <w:bookmarkStart w:id="113" w:name="page114"/>
    <w:bookmarkEnd w:id="113"/>
    <w:p>
      <w:pPr>
        <w:ind w:right="62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Required Loan Documents</w:t>
      </w:r>
      <w:r>
        <w:rPr>
          <w:rFonts w:ascii="Arial" w:cs="Arial" w:eastAsia="Arial" w:hAnsi="Arial"/>
          <w:sz w:val="18"/>
          <w:szCs w:val="18"/>
          <w:color w:val="auto"/>
        </w:rPr>
        <w:t>” means, for each Loan Asset, originals (except as otherwise indicated) of the following documents or instruments, all as specified on the related Loan Asset Checklist:</w:t>
      </w:r>
    </w:p>
    <w:p>
      <w:pPr>
        <w:spacing w:after="0" w:line="63" w:lineRule="exact"/>
        <w:rPr>
          <w:sz w:val="20"/>
          <w:szCs w:val="20"/>
          <w:color w:val="auto"/>
        </w:rPr>
      </w:pPr>
    </w:p>
    <w:p>
      <w:pPr>
        <w:ind w:left="440" w:right="160" w:firstLine="421"/>
        <w:spacing w:after="0" w:line="295" w:lineRule="auto"/>
        <w:tabs>
          <w:tab w:leader="none" w:pos="11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the original executed promissory note or, in the case of a lost note, a copy of the executed underlying promissory note accompanied by an original executed affidavit and indemnity endorsed by the Borrower in blank (and an unbroken chain of endorsements from each prior holder of such promissory note to the Borrower), or (ii) if such promissory note is not issued in the name of the Borrower or is a Noteless Loan Asset, an executed copy of each assignment and assumption agreement, transfer document or instrument relating to such Loan Asset evidencing the assignment of such Loan Asset from any prior third party owner thereof to the Borrower and from the Borrower in blank;</w:t>
      </w:r>
    </w:p>
    <w:p>
      <w:pPr>
        <w:spacing w:after="0" w:line="51" w:lineRule="exact"/>
        <w:rPr>
          <w:rFonts w:ascii="Arial" w:cs="Arial" w:eastAsia="Arial" w:hAnsi="Arial"/>
          <w:sz w:val="16"/>
          <w:szCs w:val="16"/>
          <w:color w:val="auto"/>
        </w:rPr>
      </w:pPr>
    </w:p>
    <w:p>
      <w:pPr>
        <w:jc w:val="both"/>
        <w:ind w:left="440" w:firstLine="421"/>
        <w:spacing w:after="0" w:line="262" w:lineRule="auto"/>
        <w:tabs>
          <w:tab w:leader="none" w:pos="111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extent applicable for the related Loan Asset, copies of the executed (a) guaranty, (b) credit agreement, (c) loan agreement, (d) note purchase agreement, (e) sale and servicing agreement, (f) acquisition agreement (or similar agreement) and (g) security agreement or mortgage, in each case as set forth on the Loan Asset Checklist.</w:t>
      </w:r>
    </w:p>
    <w:p>
      <w:pPr>
        <w:spacing w:after="0" w:line="182" w:lineRule="exact"/>
        <w:rPr>
          <w:sz w:val="20"/>
          <w:szCs w:val="20"/>
          <w:color w:val="auto"/>
        </w:rPr>
      </w:pPr>
    </w:p>
    <w:p>
      <w:pPr>
        <w:ind w:right="28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Reports</w:t>
      </w:r>
      <w:r>
        <w:rPr>
          <w:rFonts w:ascii="Arial" w:cs="Arial" w:eastAsia="Arial" w:hAnsi="Arial"/>
          <w:sz w:val="18"/>
          <w:szCs w:val="18"/>
          <w:color w:val="auto"/>
        </w:rPr>
        <w:t xml:space="preserve">” means, collectively, the Servicing Report required pursuant to </w:t>
      </w:r>
      <w:r>
        <w:rPr>
          <w:rFonts w:ascii="Arial" w:cs="Arial" w:eastAsia="Arial" w:hAnsi="Arial"/>
          <w:sz w:val="18"/>
          <w:szCs w:val="18"/>
          <w:u w:val="single" w:color="auto"/>
          <w:color w:val="auto"/>
        </w:rPr>
        <w:t>Section 6.08(b)</w:t>
      </w:r>
      <w:r>
        <w:rPr>
          <w:rFonts w:ascii="Arial" w:cs="Arial" w:eastAsia="Arial" w:hAnsi="Arial"/>
          <w:sz w:val="18"/>
          <w:szCs w:val="18"/>
          <w:color w:val="auto"/>
        </w:rPr>
        <w:t xml:space="preserve">, the Servicer’s Certificate required pursuant to </w:t>
      </w:r>
      <w:r>
        <w:rPr>
          <w:rFonts w:ascii="Arial" w:cs="Arial" w:eastAsia="Arial" w:hAnsi="Arial"/>
          <w:sz w:val="18"/>
          <w:szCs w:val="18"/>
          <w:u w:val="single" w:color="auto"/>
          <w:color w:val="auto"/>
        </w:rPr>
        <w:t>Section 6.08(c)</w:t>
      </w:r>
      <w:r>
        <w:rPr>
          <w:rFonts w:ascii="Arial" w:cs="Arial" w:eastAsia="Arial" w:hAnsi="Arial"/>
          <w:sz w:val="18"/>
          <w:szCs w:val="18"/>
          <w:color w:val="auto"/>
        </w:rPr>
        <w:t xml:space="preserve">, the financial statements of the Servicer required pursuant to </w:t>
      </w:r>
      <w:r>
        <w:rPr>
          <w:rFonts w:ascii="Arial" w:cs="Arial" w:eastAsia="Arial" w:hAnsi="Arial"/>
          <w:sz w:val="18"/>
          <w:szCs w:val="18"/>
          <w:u w:val="single" w:color="auto"/>
          <w:color w:val="auto"/>
        </w:rPr>
        <w:t>Section 6.08(d)</w:t>
      </w:r>
      <w:r>
        <w:rPr>
          <w:rFonts w:ascii="Arial" w:cs="Arial" w:eastAsia="Arial" w:hAnsi="Arial"/>
          <w:sz w:val="18"/>
          <w:szCs w:val="18"/>
          <w:color w:val="auto"/>
        </w:rPr>
        <w:t xml:space="preserve">, the tax returns of the Borrower and the Servicer required pursuant to </w:t>
      </w:r>
      <w:r>
        <w:rPr>
          <w:rFonts w:ascii="Arial" w:cs="Arial" w:eastAsia="Arial" w:hAnsi="Arial"/>
          <w:sz w:val="18"/>
          <w:szCs w:val="18"/>
          <w:u w:val="single" w:color="auto"/>
          <w:color w:val="auto"/>
        </w:rPr>
        <w:t>Section 6.08(e)</w:t>
      </w:r>
      <w:r>
        <w:rPr>
          <w:rFonts w:ascii="Arial" w:cs="Arial" w:eastAsia="Arial" w:hAnsi="Arial"/>
          <w:sz w:val="18"/>
          <w:szCs w:val="18"/>
          <w:color w:val="auto"/>
        </w:rPr>
        <w:t xml:space="preserve">, the financial statements and valuation reports of each Obligor required pursuant to </w:t>
      </w:r>
      <w:r>
        <w:rPr>
          <w:rFonts w:ascii="Arial" w:cs="Arial" w:eastAsia="Arial" w:hAnsi="Arial"/>
          <w:sz w:val="18"/>
          <w:szCs w:val="18"/>
          <w:u w:val="single" w:color="auto"/>
          <w:color w:val="auto"/>
        </w:rPr>
        <w:t>Section 6.08(f)</w:t>
      </w:r>
      <w:r>
        <w:rPr>
          <w:rFonts w:ascii="Arial" w:cs="Arial" w:eastAsia="Arial" w:hAnsi="Arial"/>
          <w:sz w:val="18"/>
          <w:szCs w:val="18"/>
          <w:color w:val="auto"/>
        </w:rPr>
        <w:t xml:space="preserve">, the annual statements as to compliance required pursuant to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and the annual independent public accountant’s report required pursuant to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6" w:lineRule="exact"/>
        <w:rPr>
          <w:sz w:val="20"/>
          <w:szCs w:val="20"/>
          <w:color w:val="auto"/>
        </w:rPr>
      </w:pPr>
    </w:p>
    <w:p>
      <w:pPr>
        <w:ind w:right="1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with respect to any Person, any duly authorized officer of such Person with direct responsibility for the administration of this Agreement and also, with respect to a particular matter, any other duly authorized officer of such Person to whom such matter is referred because of such officer’s knowledge of and familiarity with the particular subject.</w:t>
      </w:r>
    </w:p>
    <w:p>
      <w:pPr>
        <w:spacing w:after="0" w:line="182" w:lineRule="exact"/>
        <w:rPr>
          <w:sz w:val="20"/>
          <w:szCs w:val="20"/>
          <w:color w:val="auto"/>
        </w:rPr>
      </w:pPr>
    </w:p>
    <w:p>
      <w:pPr>
        <w:ind w:firstLine="98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Junior Payment</w:t>
      </w:r>
      <w:r>
        <w:rPr>
          <w:rFonts w:ascii="Arial" w:cs="Arial" w:eastAsia="Arial" w:hAnsi="Arial"/>
          <w:sz w:val="16"/>
          <w:szCs w:val="16"/>
          <w:color w:val="auto"/>
        </w:rPr>
        <w:t xml:space="preserve">” means (i) any dividend or other distribution, direct or indirect, on account of any class of membership interests of the Borrower now or hereafter outstanding, except a dividend paid solely in interests of that class of membership interests or in any junior class of membership interests of the Borrower; (ii) any redemption, retirement, sinking fund or similar payment, purchase or other acquisition for value, direct or indirect, of any class of membership interests of the Borrower now or hereafter outstanding, (iii) any payment made to redeem, purchase, repurchase or retire, or to obtain the surrender of, any outstanding warrants, options or other rights to acquire membership interests of the Borrower now or hereafter outstanding, and (iv) any payment of management fees by the Borrower (except for reasonable management fees to the Transferor or its Affiliates in reimbursement of actual management services performed, which management fees shall be paid pursuant to </w:t>
      </w:r>
      <w:r>
        <w:rPr>
          <w:rFonts w:ascii="Arial" w:cs="Arial" w:eastAsia="Arial" w:hAnsi="Arial"/>
          <w:sz w:val="16"/>
          <w:szCs w:val="16"/>
          <w:u w:val="single" w:color="auto"/>
          <w:color w:val="auto"/>
        </w:rPr>
        <w:t>Section 2.04(a)(vii)</w:t>
      </w:r>
      <w:r>
        <w:rPr>
          <w:rFonts w:ascii="Arial" w:cs="Arial" w:eastAsia="Arial" w:hAnsi="Arial"/>
          <w:sz w:val="16"/>
          <w:szCs w:val="16"/>
          <w:color w:val="auto"/>
        </w:rPr>
        <w:t>,</w:t>
      </w:r>
    </w:p>
    <w:p>
      <w:pPr>
        <w:spacing w:after="0" w:line="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u w:val="single" w:color="auto"/>
          <w:color w:val="auto"/>
        </w:rPr>
        <w:t>Section 2.04(b)(iii)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2.04(c)(vi)</w:t>
      </w:r>
      <w:r>
        <w:rPr>
          <w:rFonts w:ascii="Arial" w:cs="Arial" w:eastAsia="Arial" w:hAnsi="Arial"/>
          <w:sz w:val="18"/>
          <w:szCs w:val="18"/>
          <w:color w:val="auto"/>
        </w:rPr>
        <w:t>). For the avoidance of doubt, (x) payments and reimbursements due to the Servicer in accordance with this Agreement or any other Transaction Document do not constitute Restricted Junior Payments, and (y) distributions by the Borrower to holders of its membership interests of Loan Assets or of cash or other proceeds relating thereto which have been substituted by the Borrower in accordance with this Agreement shall not constitute Restricted Junior Payments.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460" w:top="273" w:right="519" w:bottom="1440" w:gutter="0" w:footer="0" w:header="0"/>
        </w:sectPr>
      </w:pPr>
    </w:p>
    <w:bookmarkStart w:id="114" w:name="page115"/>
    <w:bookmarkEnd w:id="114"/>
    <w:p>
      <w:pPr>
        <w:ind w:right="20" w:firstLine="987"/>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Retained Interest</w:t>
      </w:r>
      <w:r>
        <w:rPr>
          <w:rFonts w:ascii="Arial" w:cs="Arial" w:eastAsia="Arial" w:hAnsi="Arial"/>
          <w:sz w:val="16"/>
          <w:szCs w:val="16"/>
          <w:color w:val="auto"/>
        </w:rPr>
        <w:t xml:space="preserve">” means (A) with respect to any Revolving Loan Asset, all obligations to provide additional funding (in excess of principal amounts outstanding) with respect to such Loan Asset, and (B) with respect to any Agented Note that is originated or transferred to the Borrower, (i) all of the obligations, if any, including obligations to provide additional funding, of the agent(s) under the documentation evidencing such Agented Note, and (ii) the applicable portion of the interests, rights and obligations under the documentation evidencing such Agented Note that relate to such portion(s) of the indebtedness that is owned by another lender or is being retained by the Transferor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w:t>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Criteria</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13.02(b)(i)</w:t>
      </w:r>
      <w:r>
        <w:rPr>
          <w:rFonts w:ascii="Arial" w:cs="Arial" w:eastAsia="Arial" w:hAnsi="Arial"/>
          <w:sz w:val="18"/>
          <w:szCs w:val="18"/>
          <w:color w:val="auto"/>
        </w:rPr>
        <w:t>.</w:t>
      </w:r>
    </w:p>
    <w:p>
      <w:pPr>
        <w:spacing w:after="0" w:line="223" w:lineRule="exact"/>
        <w:rPr>
          <w:sz w:val="20"/>
          <w:szCs w:val="20"/>
          <w:color w:val="auto"/>
        </w:rPr>
      </w:pPr>
    </w:p>
    <w:p>
      <w:pPr>
        <w:ind w:right="50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Asset</w:t>
      </w:r>
      <w:r>
        <w:rPr>
          <w:rFonts w:ascii="Arial" w:cs="Arial" w:eastAsia="Arial" w:hAnsi="Arial"/>
          <w:sz w:val="18"/>
          <w:szCs w:val="18"/>
          <w:color w:val="auto"/>
        </w:rPr>
        <w:t>” means a Loan Asset that is not a Term Loan Asset (including a Loan Asset that contains revolving loan or delayed draw term loan provisions).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Principal Collections</w:t>
      </w:r>
      <w:r>
        <w:rPr>
          <w:rFonts w:ascii="Arial" w:cs="Arial" w:eastAsia="Arial" w:hAnsi="Arial"/>
          <w:sz w:val="18"/>
          <w:szCs w:val="18"/>
          <w:color w:val="auto"/>
        </w:rPr>
        <w:t>” means Principal Collections with respect to Revolving Loan Assets.</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Note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Period</w:t>
      </w:r>
      <w:r>
        <w:rPr>
          <w:rFonts w:ascii="Arial" w:cs="Arial" w:eastAsia="Arial" w:hAnsi="Arial"/>
          <w:sz w:val="18"/>
          <w:szCs w:val="18"/>
          <w:color w:val="auto"/>
        </w:rPr>
        <w:t>” shall mean the date commencing on the Closing Date and ending on the Commitment Termination Date.</w:t>
      </w:r>
    </w:p>
    <w:p>
      <w:pPr>
        <w:spacing w:after="0" w:line="223"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17g-5</w:t>
      </w:r>
      <w:r>
        <w:rPr>
          <w:rFonts w:ascii="Arial" w:cs="Arial" w:eastAsia="Arial" w:hAnsi="Arial"/>
          <w:sz w:val="18"/>
          <w:szCs w:val="18"/>
          <w:color w:val="auto"/>
        </w:rPr>
        <w:t>” means Rule 17g-5 under the Securities Exchange Act of 1934, as amended, as such rule may be amended from time to time, and subject to the interpretations provided by the Securities and Exchange Commission or its staff from time to time.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(or its successors in interest).</w:t>
      </w:r>
    </w:p>
    <w:p>
      <w:pPr>
        <w:spacing w:after="0" w:line="223" w:lineRule="exact"/>
        <w:rPr>
          <w:sz w:val="20"/>
          <w:szCs w:val="20"/>
          <w:color w:val="auto"/>
        </w:rPr>
      </w:pPr>
    </w:p>
    <w:p>
      <w:pPr>
        <w:ind w:right="2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Same-Day Advance</w:t>
      </w:r>
      <w:r>
        <w:rPr>
          <w:rFonts w:ascii="Arial" w:cs="Arial" w:eastAsia="Arial" w:hAnsi="Arial"/>
          <w:sz w:val="18"/>
          <w:szCs w:val="18"/>
          <w:color w:val="auto"/>
        </w:rPr>
        <w:t xml:space="preserve">” means an Advance for which the Notice of Borrowing is delivered by the Borrower to the Administrative Agent pursuant to </w:t>
      </w:r>
      <w:r>
        <w:rPr>
          <w:rFonts w:ascii="Arial" w:cs="Arial" w:eastAsia="Arial" w:hAnsi="Arial"/>
          <w:sz w:val="18"/>
          <w:szCs w:val="18"/>
          <w:u w:val="single" w:color="auto"/>
          <w:color w:val="auto"/>
        </w:rPr>
        <w:t>Section 2.02(b)</w:t>
      </w:r>
      <w:r>
        <w:rPr>
          <w:rFonts w:ascii="Arial" w:cs="Arial" w:eastAsia="Arial" w:hAnsi="Arial"/>
          <w:sz w:val="18"/>
          <w:szCs w:val="18"/>
          <w:color w:val="auto"/>
        </w:rPr>
        <w:t xml:space="preserve"> by 10:00 am on the same Business Day of the proposed date of such Advance.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4.01(qq)(iii)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4.01(qq)(iii)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4.01(qq)(iii)</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Commitment Termination Date</w:t>
      </w:r>
      <w:r>
        <w:rPr>
          <w:rFonts w:ascii="Arial" w:cs="Arial" w:eastAsia="Arial" w:hAnsi="Arial"/>
          <w:sz w:val="18"/>
          <w:szCs w:val="18"/>
          <w:color w:val="auto"/>
        </w:rPr>
        <w:t xml:space="preserve">” means June 1, 2024, as such date may be extended by mutual agreement of the parties hereto (each, in their sole and absolute discretion) pursuant to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12.01(b)</w:t>
      </w:r>
      <w:r>
        <w:rPr>
          <w:rFonts w:ascii="Arial" w:cs="Arial" w:eastAsia="Arial" w:hAnsi="Arial"/>
          <w:sz w:val="18"/>
          <w:szCs w:val="18"/>
          <w:color w:val="auto"/>
        </w:rPr>
        <w: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880"/>
          </w:cols>
          <w:pgMar w:left="460" w:top="273" w:right="559" w:bottom="1440" w:gutter="0" w:footer="0" w:header="0"/>
        </w:sectPr>
      </w:pPr>
    </w:p>
    <w:bookmarkStart w:id="115" w:name="page116"/>
    <w:bookmarkEnd w:id="115"/>
    <w:p>
      <w:pPr>
        <w:ind w:right="4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Scheduled Maturity Date</w:t>
      </w:r>
      <w:r>
        <w:rPr>
          <w:rFonts w:ascii="Arial" w:cs="Arial" w:eastAsia="Arial" w:hAnsi="Arial"/>
          <w:sz w:val="18"/>
          <w:szCs w:val="18"/>
          <w:color w:val="auto"/>
        </w:rPr>
        <w:t xml:space="preserve">” means June 1, 2026, as such date may be extended by mutual agreement of the parties hereto (in their sole and absolute discretion) pursuant to </w:t>
      </w:r>
      <w:r>
        <w:rPr>
          <w:rFonts w:ascii="Arial" w:cs="Arial" w:eastAsia="Arial" w:hAnsi="Arial"/>
          <w:sz w:val="18"/>
          <w:szCs w:val="18"/>
          <w:u w:val="single" w:color="auto"/>
          <w:color w:val="auto"/>
        </w:rPr>
        <w:t>Sections 2.23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12.01(b)</w:t>
      </w:r>
      <w:r>
        <w:rPr>
          <w:rFonts w:ascii="Arial" w:cs="Arial" w:eastAsia="Arial" w:hAnsi="Arial"/>
          <w:sz w:val="18"/>
          <w:szCs w:val="18"/>
          <w:color w:val="auto"/>
        </w:rPr>
        <w:t>.</w:t>
      </w:r>
    </w:p>
    <w:p>
      <w:pPr>
        <w:spacing w:after="0" w:line="171"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Payment</w:t>
      </w:r>
      <w:r>
        <w:rPr>
          <w:rFonts w:ascii="Arial" w:cs="Arial" w:eastAsia="Arial" w:hAnsi="Arial"/>
          <w:sz w:val="18"/>
          <w:szCs w:val="18"/>
          <w:color w:val="auto"/>
        </w:rPr>
        <w:t>” means each scheduled payment of principal or interest required to be made by an Obligor on the related Loan Asset, as adjusted pursuant to the terms of the related Loan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Extension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2.23</w:t>
      </w:r>
      <w:r>
        <w:rPr>
          <w:rFonts w:ascii="Arial" w:cs="Arial" w:eastAsia="Arial" w:hAnsi="Arial"/>
          <w:sz w:val="18"/>
          <w:szCs w:val="18"/>
          <w:color w:val="auto"/>
        </w:rPr>
        <w:t>.</w:t>
      </w:r>
    </w:p>
    <w:p>
      <w:pPr>
        <w:spacing w:after="0" w:line="223" w:lineRule="exact"/>
        <w:rPr>
          <w:sz w:val="20"/>
          <w:szCs w:val="20"/>
          <w:color w:val="auto"/>
        </w:rPr>
      </w:pPr>
    </w:p>
    <w:p>
      <w:pPr>
        <w:ind w:right="40" w:firstLine="987"/>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Lien Loan Asset</w:t>
      </w:r>
      <w:r>
        <w:rPr>
          <w:rFonts w:ascii="Arial" w:cs="Arial" w:eastAsia="Arial" w:hAnsi="Arial"/>
          <w:sz w:val="18"/>
          <w:szCs w:val="18"/>
          <w:color w:val="auto"/>
        </w:rPr>
        <w:t>” means any Loan Asset that (i) is secured by a valid and perfected Lien on a substantial portion of the Obligor’s assets constituting Underlying Collateral for the Loan Asset, subject only to (i) the prior lien provided to secure the obligations under a “first lien” loan pursuant to typical commercial terms, and any other “permitted liens” as defined in the applicable Loan Agreement for such Loan Asset or such comparable definition or provision if “permitted liens” is not defined therein (including, without limitation, priority Liens on certain current assets, including accounts receivable, to secure working capital facilities), and (ii) provides that the payment obligation of the Obligor on such Loan Asset is “senior debt” and, except for the express priority provisions under the documentation of the “first lien” lenders, is either senior to, or pari passu with, all other Indebtedness of such Obligor.</w:t>
      </w:r>
    </w:p>
    <w:p>
      <w:pPr>
        <w:spacing w:after="0" w:line="193" w:lineRule="exact"/>
        <w:rPr>
          <w:sz w:val="20"/>
          <w:szCs w:val="20"/>
          <w:color w:val="auto"/>
        </w:rPr>
      </w:pPr>
    </w:p>
    <w:p>
      <w:pPr>
        <w:ind w:right="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Party</w:t>
      </w:r>
      <w:r>
        <w:rPr>
          <w:rFonts w:ascii="Arial" w:cs="Arial" w:eastAsia="Arial" w:hAnsi="Arial"/>
          <w:sz w:val="18"/>
          <w:szCs w:val="18"/>
          <w:color w:val="auto"/>
        </w:rPr>
        <w:t>” means each of the Administrative Agent, each Lender (together with its successors and assigns), each Lender Agent, each Affected Party, each Indemnified Party, the Collateral Custodian, the Collateral Agent and the Account Bank.</w:t>
      </w:r>
    </w:p>
    <w:p>
      <w:pPr>
        <w:spacing w:after="0" w:line="171" w:lineRule="exact"/>
        <w:rPr>
          <w:sz w:val="20"/>
          <w:szCs w:val="20"/>
          <w:color w:val="auto"/>
        </w:rPr>
      </w:pPr>
    </w:p>
    <w:p>
      <w:pPr>
        <w:ind w:right="14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Debt/EBITDA Ratio</w:t>
      </w:r>
      <w:r>
        <w:rPr>
          <w:rFonts w:ascii="Arial" w:cs="Arial" w:eastAsia="Arial" w:hAnsi="Arial"/>
          <w:sz w:val="18"/>
          <w:szCs w:val="18"/>
          <w:color w:val="auto"/>
        </w:rPr>
        <w:t>” means for any Obligor, the ratio of (x) senior Indebtedness (i.e., Indebtedness that is not subject to contractual or structural subordination) of such Obligor, to (y) EBITDA of such Obligor, as reflected on such Obligor’s most recent financial reporting under its Loan Agreement.</w:t>
      </w:r>
    </w:p>
    <w:p>
      <w:pPr>
        <w:spacing w:after="0" w:line="182" w:lineRule="exact"/>
        <w:rPr>
          <w:sz w:val="20"/>
          <w:szCs w:val="20"/>
          <w:color w:val="auto"/>
        </w:rPr>
      </w:pPr>
    </w:p>
    <w:p>
      <w:pPr>
        <w:ind w:firstLine="98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Servicing Fees</w:t>
      </w:r>
      <w:r>
        <w:rPr>
          <w:rFonts w:ascii="Arial" w:cs="Arial" w:eastAsia="Arial" w:hAnsi="Arial"/>
          <w:sz w:val="16"/>
          <w:szCs w:val="16"/>
          <w:color w:val="auto"/>
        </w:rPr>
        <w:t xml:space="preserve">” means the fee payable to the Servicer on each Payment Date in arrears in respect of each Remittance Period, which fee shall be equal to the product of (i) 0.50%, (ii) the weighted average daily Aggregate Outstanding Principal Balance of all Eligible Loan Assets for such Remittance Period, and (iii) the actual number of days in such Remittance Period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360;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rate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hereof may be increased up to a level determined by the Administrative Agent in its sole and absolute discretion as then reflecting the arm’s length servicing fee in the event that the Backup Servicer or other replacement Servicer is appointed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w:t>
      </w:r>
    </w:p>
    <w:p>
      <w:pPr>
        <w:spacing w:after="0" w:line="159" w:lineRule="exact"/>
        <w:rPr>
          <w:sz w:val="20"/>
          <w:szCs w:val="20"/>
          <w:color w:val="auto"/>
        </w:rPr>
      </w:pPr>
    </w:p>
    <w:p>
      <w:pPr>
        <w:ind w:right="2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w:t>
      </w:r>
      <w:r>
        <w:rPr>
          <w:rFonts w:ascii="Arial" w:cs="Arial" w:eastAsia="Arial" w:hAnsi="Arial"/>
          <w:sz w:val="18"/>
          <w:szCs w:val="18"/>
          <w:color w:val="auto"/>
        </w:rPr>
        <w:t xml:space="preserve">” means at any time the Person then authorized,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to service, administer, and collect on the Loan Assets and exercise rights and remedies in respect of the same.</w:t>
      </w:r>
    </w:p>
    <w:p>
      <w:pPr>
        <w:spacing w:after="0" w:line="171" w:lineRule="exact"/>
        <w:rPr>
          <w:sz w:val="20"/>
          <w:szCs w:val="20"/>
          <w:color w:val="auto"/>
        </w:rPr>
      </w:pPr>
    </w:p>
    <w:p>
      <w:pPr>
        <w:ind w:right="3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Advance</w:t>
      </w:r>
      <w:r>
        <w:rPr>
          <w:rFonts w:ascii="Arial" w:cs="Arial" w:eastAsia="Arial" w:hAnsi="Arial"/>
          <w:sz w:val="18"/>
          <w:szCs w:val="18"/>
          <w:color w:val="auto"/>
        </w:rPr>
        <w:t>” means a discretionary advance of funds by the Servicer (or the Borrower) to an Obligor that does not constitute a revolving advance in the ordinary course under a Revolving Loan Asset.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Pension Plan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4.03(p)</w:t>
      </w:r>
      <w:r>
        <w:rPr>
          <w:rFonts w:ascii="Arial" w:cs="Arial" w:eastAsia="Arial" w:hAnsi="Arial"/>
          <w:sz w:val="18"/>
          <w:szCs w:val="18"/>
          <w:color w:val="auto"/>
        </w:rPr>
        <w:t>.</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460" w:top="273" w:right="499" w:bottom="1440" w:gutter="0" w:footer="0" w:header="0"/>
        </w:sectPr>
      </w:pPr>
    </w:p>
    <w:bookmarkStart w:id="116" w:name="page117"/>
    <w:bookmarkEnd w:id="116"/>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Servicer Replacement Event</w:t>
      </w:r>
      <w:r>
        <w:rPr>
          <w:rFonts w:ascii="Arial" w:cs="Arial" w:eastAsia="Arial" w:hAnsi="Arial"/>
          <w:sz w:val="18"/>
          <w:szCs w:val="18"/>
          <w:color w:val="auto"/>
        </w:rPr>
        <w:t>” means the occurrence of any one or more of the following events:</w:t>
      </w:r>
    </w:p>
    <w:p>
      <w:pPr>
        <w:spacing w:after="0" w:line="115" w:lineRule="exact"/>
        <w:rPr>
          <w:sz w:val="20"/>
          <w:szCs w:val="20"/>
          <w:color w:val="auto"/>
        </w:rPr>
      </w:pPr>
    </w:p>
    <w:p>
      <w:pPr>
        <w:ind w:left="660" w:hanging="239"/>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occurrence of a Servicer Termination Event;</w:t>
      </w:r>
    </w:p>
    <w:p>
      <w:pPr>
        <w:spacing w:after="0" w:line="115" w:lineRule="exact"/>
        <w:rPr>
          <w:rFonts w:ascii="Arial" w:cs="Arial" w:eastAsia="Arial" w:hAnsi="Arial"/>
          <w:sz w:val="18"/>
          <w:szCs w:val="18"/>
          <w:color w:val="auto"/>
        </w:rPr>
      </w:pPr>
    </w:p>
    <w:p>
      <w:pPr>
        <w:ind w:right="80" w:firstLine="421"/>
        <w:spacing w:after="0" w:line="262" w:lineRule="auto"/>
        <w:tabs>
          <w:tab w:leader="none" w:pos="67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following the commencement of the Amortization Period, either the Charged-Off Ratio or the Delinquency Ratio (in each case, as set forth in the latest Servicing Report) is greater than the applicable percentage (based on the Weighted Average Recovery Rate as of the applicable date of determination):</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Less Than 75% But</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WARR</w:t>
            </w:r>
          </w:p>
        </w:tc>
        <w:tc>
          <w:tcPr>
            <w:tcW w:w="2260" w:type="dxa"/>
            <w:vAlign w:val="bottom"/>
            <w:vMerge w:val="restart"/>
          </w:tcPr>
          <w:p>
            <w:pPr>
              <w:spacing w:after="0"/>
              <w:rPr>
                <w:sz w:val="12"/>
                <w:szCs w:val="12"/>
                <w:color w:val="auto"/>
              </w:rPr>
            </w:pPr>
          </w:p>
        </w:tc>
        <w:tc>
          <w:tcPr>
            <w:tcW w:w="282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Less Than 50%</w:t>
            </w:r>
          </w:p>
        </w:tc>
        <w:tc>
          <w:tcPr>
            <w:tcW w:w="380" w:type="dxa"/>
            <w:vAlign w:val="bottom"/>
          </w:tcPr>
          <w:p>
            <w:pPr>
              <w:spacing w:after="0"/>
              <w:rPr>
                <w:sz w:val="12"/>
                <w:szCs w:val="12"/>
                <w:color w:val="auto"/>
              </w:rPr>
            </w:pPr>
          </w:p>
        </w:tc>
        <w:tc>
          <w:tcPr>
            <w:tcW w:w="17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97"/>
              </w:rPr>
              <w:t>Greater Than or</w:t>
            </w:r>
          </w:p>
        </w:tc>
        <w:tc>
          <w:tcPr>
            <w:tcW w:w="15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75% or Greater</w:t>
            </w:r>
          </w:p>
        </w:tc>
        <w:tc>
          <w:tcPr>
            <w:tcW w:w="0" w:type="dxa"/>
            <w:vAlign w:val="bottom"/>
          </w:tcPr>
          <w:p>
            <w:pPr>
              <w:spacing w:after="0"/>
              <w:rPr>
                <w:sz w:val="1"/>
                <w:szCs w:val="1"/>
                <w:color w:val="auto"/>
              </w:rPr>
            </w:pPr>
          </w:p>
        </w:tc>
      </w:tr>
      <w:tr>
        <w:trPr>
          <w:trHeight w:val="162"/>
        </w:trPr>
        <w:tc>
          <w:tcPr>
            <w:tcW w:w="460" w:type="dxa"/>
            <w:vAlign w:val="bottom"/>
            <w:tcBorders>
              <w:bottom w:val="single" w:sz="8" w:color="auto"/>
            </w:tcBorders>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282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2"/>
          </w:tcPr>
          <w:p>
            <w:pPr>
              <w:jc w:val="center"/>
              <w:ind w:right="540"/>
              <w:spacing w:after="0" w:line="157" w:lineRule="exact"/>
              <w:rPr>
                <w:sz w:val="20"/>
                <w:szCs w:val="20"/>
                <w:color w:val="auto"/>
              </w:rPr>
            </w:pPr>
            <w:r>
              <w:rPr>
                <w:rFonts w:ascii="Arial" w:cs="Arial" w:eastAsia="Arial" w:hAnsi="Arial"/>
                <w:sz w:val="14"/>
                <w:szCs w:val="14"/>
                <w:b w:val="1"/>
                <w:bCs w:val="1"/>
                <w:color w:val="auto"/>
                <w:w w:val="96"/>
              </w:rPr>
              <w:t>Equal to 50%</w:t>
            </w:r>
          </w:p>
        </w:tc>
        <w:tc>
          <w:tcPr>
            <w:tcW w:w="1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Charged-Off Ratio</w:t>
            </w:r>
          </w:p>
        </w:tc>
        <w:tc>
          <w:tcPr>
            <w:tcW w:w="136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72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w:t>
            </w:r>
          </w:p>
        </w:tc>
        <w:tc>
          <w:tcPr>
            <w:tcW w:w="380" w:type="dxa"/>
            <w:vAlign w:val="bottom"/>
            <w:vMerge w:val="continue"/>
            <w:shd w:val="clear" w:color="auto" w:fill="CCEEFF"/>
          </w:tcPr>
          <w:p>
            <w:pPr>
              <w:spacing w:after="0"/>
              <w:rPr>
                <w:sz w:val="17"/>
                <w:szCs w:val="17"/>
                <w:color w:val="auto"/>
              </w:rPr>
            </w:pPr>
          </w:p>
        </w:tc>
        <w:tc>
          <w:tcPr>
            <w:tcW w:w="17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w:t>
            </w:r>
          </w:p>
        </w:tc>
        <w:tc>
          <w:tcPr>
            <w:tcW w:w="380" w:type="dxa"/>
            <w:vAlign w:val="bottom"/>
            <w:vMerge w:val="continue"/>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Delinquency Ratio</w:t>
            </w:r>
          </w:p>
        </w:tc>
        <w:tc>
          <w:tcPr>
            <w:tcW w:w="2820" w:type="dxa"/>
            <w:vAlign w:val="bottom"/>
            <w:gridSpan w:val="3"/>
          </w:tcPr>
          <w:p>
            <w:pPr>
              <w:jc w:val="right"/>
              <w:ind w:right="360"/>
              <w:spacing w:after="0"/>
              <w:rPr>
                <w:sz w:val="20"/>
                <w:szCs w:val="20"/>
                <w:color w:val="auto"/>
              </w:rPr>
            </w:pPr>
            <w:r>
              <w:rPr>
                <w:rFonts w:ascii="Arial" w:cs="Arial" w:eastAsia="Arial" w:hAnsi="Arial"/>
                <w:sz w:val="18"/>
                <w:szCs w:val="18"/>
                <w:color w:val="auto"/>
              </w:rPr>
              <w:t>10%</w:t>
            </w:r>
          </w:p>
        </w:tc>
        <w:tc>
          <w:tcPr>
            <w:tcW w:w="2120" w:type="dxa"/>
            <w:vAlign w:val="bottom"/>
            <w:gridSpan w:val="3"/>
          </w:tcPr>
          <w:p>
            <w:pPr>
              <w:jc w:val="right"/>
              <w:ind w:right="380"/>
              <w:spacing w:after="0"/>
              <w:rPr>
                <w:sz w:val="20"/>
                <w:szCs w:val="20"/>
                <w:color w:val="auto"/>
              </w:rPr>
            </w:pPr>
            <w:r>
              <w:rPr>
                <w:rFonts w:ascii="Arial" w:cs="Arial" w:eastAsia="Arial" w:hAnsi="Arial"/>
                <w:sz w:val="18"/>
                <w:szCs w:val="18"/>
                <w:color w:val="auto"/>
              </w:rPr>
              <w:t>20%</w:t>
            </w: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Termination Event</w:t>
      </w:r>
      <w:r>
        <w:rPr>
          <w:rFonts w:ascii="Arial" w:cs="Arial" w:eastAsia="Arial" w:hAnsi="Arial"/>
          <w:sz w:val="18"/>
          <w:szCs w:val="18"/>
          <w:color w:val="auto"/>
        </w:rPr>
        <w:t>” means the occurrence of any one or more of the following events:</w:t>
      </w:r>
    </w:p>
    <w:p>
      <w:pPr>
        <w:spacing w:after="0" w:line="115" w:lineRule="exact"/>
        <w:rPr>
          <w:sz w:val="20"/>
          <w:szCs w:val="20"/>
          <w:color w:val="auto"/>
        </w:rPr>
      </w:pPr>
    </w:p>
    <w:p>
      <w:pPr>
        <w:ind w:right="220" w:firstLine="421"/>
        <w:spacing w:after="0" w:line="295" w:lineRule="auto"/>
        <w:tabs>
          <w:tab w:leader="none" w:pos="665"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failure by the Servicer to make any payment, transfer or deposit into the Collection Account (including, without limitation, with respect to bifurcation and remittance of Interest Collections and Principal Collections), as required by this Agreement or any Transaction Document which continues unremedied for a period of two Business Days (unless such failure was due solely to an administrative error by the financial institution holding the Collection Account crediting any such payment to the wrong account and the Servicer and such financial institution work diligently to resolve as promptly as possible and in any event within two Business Days after such error was discovered);</w:t>
      </w:r>
    </w:p>
    <w:p>
      <w:pPr>
        <w:spacing w:after="0" w:line="51" w:lineRule="exact"/>
        <w:rPr>
          <w:rFonts w:ascii="Arial" w:cs="Arial" w:eastAsia="Arial" w:hAnsi="Arial"/>
          <w:sz w:val="16"/>
          <w:szCs w:val="16"/>
          <w:color w:val="auto"/>
        </w:rPr>
      </w:pPr>
    </w:p>
    <w:p>
      <w:pPr>
        <w:ind w:right="120" w:firstLine="421"/>
        <w:spacing w:after="0" w:line="275" w:lineRule="auto"/>
        <w:tabs>
          <w:tab w:leader="none" w:pos="67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withdrawal by the Servicer from the URCA Account or the Collection Account in contravention of or otherwise not in accordance with the terms of this Agreement;</w:t>
      </w:r>
    </w:p>
    <w:p>
      <w:pPr>
        <w:spacing w:after="0" w:line="63" w:lineRule="exact"/>
        <w:rPr>
          <w:rFonts w:ascii="Arial" w:cs="Arial" w:eastAsia="Arial" w:hAnsi="Arial"/>
          <w:sz w:val="18"/>
          <w:szCs w:val="18"/>
          <w:color w:val="auto"/>
        </w:rPr>
      </w:pPr>
    </w:p>
    <w:p>
      <w:pPr>
        <w:ind w:firstLine="421"/>
        <w:spacing w:after="0" w:line="253" w:lineRule="auto"/>
        <w:tabs>
          <w:tab w:leader="none" w:pos="6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failure on the part of the Servicer duly to (i) observe or perform in any material respect any other covenants or agreements of the Servicer set forth in this Agreement or the other Transaction Documents to which the Servicer is a party (including, without limitation, any delegation of the Servicer’s duties that is not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of this Agreement) or (ii) comply in any material respect with the Credit and Collection Policy or Servicing Standard regarding the servicing of the Collateral Portfolio, and in each case the same continues unremedied for a period of 30 days (if such failure can be remedied) after the earlier to occur of (x) the date on which written notice of such misrepresentation or failure requiring the same to be remedied shall have been given to the Servicer by the Administrative Agent, the Collateral Agent (at the direction of the Administrative Agent) or the Borrower and (y) the date on which a Responsible Officer of the Servicer acquires knowledge thereof;</w:t>
      </w:r>
    </w:p>
    <w:p>
      <w:pPr>
        <w:spacing w:after="0" w:line="12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440"/>
          </w:cols>
          <w:pgMar w:left="900" w:top="273" w:right="559" w:bottom="1440" w:gutter="0" w:footer="0" w:header="0"/>
        </w:sectPr>
      </w:pPr>
    </w:p>
    <w:bookmarkStart w:id="117" w:name="page118"/>
    <w:bookmarkEnd w:id="117"/>
    <w:p>
      <w:pPr>
        <w:ind w:right="20" w:firstLine="421"/>
        <w:spacing w:after="0" w:line="310" w:lineRule="auto"/>
        <w:tabs>
          <w:tab w:leader="none" w:pos="675"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failure of the Servicer to make any payment when due (after giving effect to any related grace period) under one or more agreements for borrowed money to which it is a party in an aggregate amount in excess of $25,000,000 (or its Dollar Equivalent), individually or in the aggregate, or the occurrence of any event or condition that has resulted in the acceleration of such amount of recourse debt whether or not waived;</w:t>
      </w:r>
    </w:p>
    <w:p>
      <w:pPr>
        <w:spacing w:after="0" w:line="39" w:lineRule="exact"/>
        <w:rPr>
          <w:rFonts w:ascii="Arial" w:cs="Arial" w:eastAsia="Arial" w:hAnsi="Arial"/>
          <w:sz w:val="16"/>
          <w:szCs w:val="16"/>
          <w:color w:val="auto"/>
        </w:rPr>
      </w:pPr>
    </w:p>
    <w:p>
      <w:pPr>
        <w:ind w:right="700" w:firstLine="421"/>
        <w:spacing w:after="0" w:line="275" w:lineRule="auto"/>
        <w:tabs>
          <w:tab w:leader="none" w:pos="665"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Servicer shall have made payments of amounts in excess of $25,000,000 in the settlement of any litigation, claim or dispute (excluding payments made from insurance proceeds); or</w:t>
      </w:r>
    </w:p>
    <w:p>
      <w:pPr>
        <w:spacing w:after="0" w:line="63" w:lineRule="exact"/>
        <w:rPr>
          <w:rFonts w:ascii="Arial" w:cs="Arial" w:eastAsia="Arial" w:hAnsi="Arial"/>
          <w:sz w:val="18"/>
          <w:szCs w:val="18"/>
          <w:color w:val="auto"/>
        </w:rPr>
      </w:pPr>
    </w:p>
    <w:p>
      <w:pPr>
        <w:ind w:left="640" w:hanging="219"/>
        <w:spacing w:after="0"/>
        <w:tabs>
          <w:tab w:leader="none" w:pos="6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the failure of the Servicer as of any date of determination to hold (i) Unrestricted Cash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undrawn and available commitments</w:t>
      </w:r>
    </w:p>
    <w:p>
      <w:pPr>
        <w:spacing w:after="0" w:line="34" w:lineRule="exact"/>
        <w:rPr>
          <w:rFonts w:ascii="Arial" w:cs="Arial" w:eastAsia="Arial" w:hAnsi="Arial"/>
          <w:sz w:val="17"/>
          <w:szCs w:val="17"/>
          <w:color w:val="auto"/>
        </w:rPr>
      </w:pPr>
    </w:p>
    <w:p>
      <w:pPr>
        <w:spacing w:after="0" w:line="251" w:lineRule="auto"/>
        <w:tabs>
          <w:tab w:leader="none" w:pos="2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pursuant to Indebtedness under credit facilities with lenders not Affiliates of the Servicer, (y) not in default, terminating, maturing or otherwise becoming discretionary, and (z) available under the relevant borrowing base thereunder and otherwise subject only to typical and customary conditions precedent that the Servicer believes in good faith are all satisfied or readily satisfied) that are, in the aggregate, equal to or greater than the amount of principal payments due or to become due (whether scheduled, upon maturity or otherwise) under Indebtedness of the Servicer in the next 30 days of such date of determination;</w:t>
      </w:r>
    </w:p>
    <w:p>
      <w:pPr>
        <w:spacing w:after="0" w:line="85" w:lineRule="exact"/>
        <w:rPr>
          <w:rFonts w:ascii="Arial" w:cs="Arial" w:eastAsia="Arial" w:hAnsi="Arial"/>
          <w:sz w:val="18"/>
          <w:szCs w:val="18"/>
          <w:color w:val="auto"/>
        </w:rPr>
      </w:pPr>
    </w:p>
    <w:p>
      <w:pPr>
        <w:ind w:firstLine="421"/>
        <w:spacing w:after="0" w:line="254" w:lineRule="auto"/>
        <w:tabs>
          <w:tab w:leader="none" w:pos="6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effectuation of any change in the Credit and Collection Policy without the prior written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prior written notice thereof is provided to the Administrative Agent, no consent shall be required from the Administrative Agent in connection with (i) any change certified by the Servicer to the Administrative Agent as being not adverse to the interests of the Lender Group (except in an immaterial manner), or (ii) any change mandated by Applicable Law or a Governmental Authority and, if requested by the Administrative Agent at the direction of the Majority Lenders, as evidenced by an Opinion of Counsel to that effect delivered to the Administrative Agent;</w:t>
      </w:r>
    </w:p>
    <w:p>
      <w:pPr>
        <w:spacing w:after="0" w:line="83" w:lineRule="exact"/>
        <w:rPr>
          <w:rFonts w:ascii="Arial" w:cs="Arial" w:eastAsia="Arial" w:hAnsi="Arial"/>
          <w:sz w:val="18"/>
          <w:szCs w:val="18"/>
          <w:color w:val="auto"/>
        </w:rPr>
      </w:pPr>
    </w:p>
    <w:p>
      <w:pPr>
        <w:ind w:left="680" w:hanging="259"/>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Bankruptcy Event shall occur with respect to the Servicer;</w:t>
      </w:r>
    </w:p>
    <w:p>
      <w:pPr>
        <w:spacing w:after="0" w:line="115" w:lineRule="exact"/>
        <w:rPr>
          <w:rFonts w:ascii="Arial" w:cs="Arial" w:eastAsia="Arial" w:hAnsi="Arial"/>
          <w:sz w:val="18"/>
          <w:szCs w:val="18"/>
          <w:color w:val="auto"/>
        </w:rPr>
      </w:pPr>
    </w:p>
    <w:p>
      <w:pPr>
        <w:ind w:right="220" w:firstLine="421"/>
        <w:spacing w:after="0" w:line="275" w:lineRule="auto"/>
        <w:tabs>
          <w:tab w:leader="none" w:pos="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Solar Capital shall assign its rights or obligations as “Servicer” hereunder to any Person without the consent of each Lender Agent and the Administrative Agent (as required in the last sentence of </w:t>
      </w:r>
      <w:r>
        <w:rPr>
          <w:rFonts w:ascii="Arial" w:cs="Arial" w:eastAsia="Arial" w:hAnsi="Arial"/>
          <w:sz w:val="18"/>
          <w:szCs w:val="18"/>
          <w:u w:val="single" w:color="auto"/>
          <w:color w:val="auto"/>
        </w:rPr>
        <w:t>Section 12.04(a)</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640" w:hanging="219"/>
        <w:spacing w:after="0"/>
        <w:tabs>
          <w:tab w:leader="none" w:pos="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Solar Capital fails to maintain the Required Asset Coverage Ratio for a period of 60 consecutive days;</w:t>
      </w:r>
    </w:p>
    <w:p>
      <w:pPr>
        <w:spacing w:after="0" w:line="115" w:lineRule="exact"/>
        <w:rPr>
          <w:rFonts w:ascii="Arial" w:cs="Arial" w:eastAsia="Arial" w:hAnsi="Arial"/>
          <w:sz w:val="18"/>
          <w:szCs w:val="18"/>
          <w:color w:val="auto"/>
        </w:rPr>
      </w:pPr>
    </w:p>
    <w:p>
      <w:pPr>
        <w:ind w:left="680" w:hanging="259"/>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Solar Capital fails to maintain its status as a “business development company” under the 1940 Act;</w:t>
      </w:r>
    </w:p>
    <w:p>
      <w:pPr>
        <w:spacing w:after="0" w:line="115" w:lineRule="exact"/>
        <w:rPr>
          <w:rFonts w:ascii="Arial" w:cs="Arial" w:eastAsia="Arial" w:hAnsi="Arial"/>
          <w:sz w:val="18"/>
          <w:szCs w:val="18"/>
          <w:color w:val="auto"/>
        </w:rPr>
      </w:pPr>
    </w:p>
    <w:p>
      <w:pPr>
        <w:ind w:firstLine="421"/>
        <w:spacing w:after="0" w:line="255" w:lineRule="auto"/>
        <w:tabs>
          <w:tab w:leader="none" w:pos="635"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Solar Capital permits Shareholders’ Equity (as reflected in its 10Q or 10K without any deductions) at the last day of any of its fiscal quarter to be less than the greater of (i) 33% of the total assets of Solar Capital and its Subsidiaries as of the last day of such fiscal quarter (determined on a consolidated basis, without duplication, in accordance with GAAP) and (ii)(A) prior to the Merger, $130,000,000 and (B) on and after the Merger, $600,000,000, </w:t>
      </w:r>
      <w:r>
        <w:rPr>
          <w:rFonts w:ascii="Arial" w:cs="Arial" w:eastAsia="Arial" w:hAnsi="Arial"/>
          <w:sz w:val="18"/>
          <w:szCs w:val="18"/>
          <w:i w:val="1"/>
          <w:iCs w:val="1"/>
          <w:color w:val="auto"/>
        </w:rPr>
        <w:t>plus</w:t>
      </w:r>
      <w:r>
        <w:rPr>
          <w:rFonts w:ascii="Arial" w:cs="Arial" w:eastAsia="Arial" w:hAnsi="Arial"/>
          <w:sz w:val="18"/>
          <w:szCs w:val="18"/>
          <w:color w:val="auto"/>
        </w:rPr>
        <w:t xml:space="preserve"> 25% of the net proceeds of the sale of equity interests by Solar Capital and its Subsidiaries after the Closing Date;</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00"/>
          </w:cols>
          <w:pgMar w:left="900" w:top="273" w:right="499" w:bottom="1440" w:gutter="0" w:footer="0" w:header="0"/>
        </w:sectPr>
      </w:pPr>
    </w:p>
    <w:bookmarkStart w:id="118" w:name="page119"/>
    <w:bookmarkEnd w:id="118"/>
    <w:p>
      <w:pPr>
        <w:ind w:left="440" w:right="80" w:firstLine="421"/>
        <w:spacing w:after="0" w:line="310" w:lineRule="auto"/>
        <w:tabs>
          <w:tab w:leader="none" w:pos="1164"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any failure by the Servicer to deliver (i) any required Servicing Report on or before the date occurring two Business Days after the date such report is required to be made or given, as the case may be or (ii) any other Required Reports hereunder on or before the date occurring ten Business Days after the date such report is required to be made or given, as the case may be, in each case under the terms of this Agreement;</w:t>
      </w:r>
    </w:p>
    <w:p>
      <w:pPr>
        <w:spacing w:after="0" w:line="39" w:lineRule="exact"/>
        <w:rPr>
          <w:rFonts w:ascii="Arial" w:cs="Arial" w:eastAsia="Arial" w:hAnsi="Arial"/>
          <w:sz w:val="16"/>
          <w:szCs w:val="16"/>
          <w:color w:val="auto"/>
        </w:rPr>
      </w:pPr>
    </w:p>
    <w:p>
      <w:pPr>
        <w:ind w:left="440" w:firstLine="421"/>
        <w:spacing w:after="0" w:line="254" w:lineRule="auto"/>
        <w:tabs>
          <w:tab w:leader="none" w:pos="11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by the Servicer in any Transaction Document or in any certificate delivered pursuant to any Transaction Document shall prove to have been incorrect when made, which has a Material Adverse Effect on the Administrative Agent or any of the Secured Parties and continues to be unremedied for a period of 30 days after the earlier to occur of (i) the date on which written notice of such incorrectness requiring the same to be remedied shall have been given to the Servicer by the Administrative Agent, the Collateral Agent (at the direction of the Administrative Agent) or the Borrower and (ii) the date on which a Responsible Officer of the Servicer acquires knowledge thereof;</w:t>
      </w:r>
    </w:p>
    <w:p>
      <w:pPr>
        <w:spacing w:after="0" w:line="83" w:lineRule="exact"/>
        <w:rPr>
          <w:rFonts w:ascii="Arial" w:cs="Arial" w:eastAsia="Arial" w:hAnsi="Arial"/>
          <w:sz w:val="18"/>
          <w:szCs w:val="18"/>
          <w:color w:val="auto"/>
        </w:rPr>
      </w:pPr>
    </w:p>
    <w:p>
      <w:pPr>
        <w:ind w:left="440" w:right="20" w:firstLine="421"/>
        <w:spacing w:after="0" w:line="275" w:lineRule="auto"/>
        <w:tabs>
          <w:tab w:leader="none" w:pos="11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financial or other information reasonably requested by the Administrative Agent or the Collateral Agent is not provided as requested within a reasonable amount of time following such request;</w:t>
      </w:r>
    </w:p>
    <w:p>
      <w:pPr>
        <w:spacing w:after="0" w:line="63" w:lineRule="exact"/>
        <w:rPr>
          <w:rFonts w:ascii="Arial" w:cs="Arial" w:eastAsia="Arial" w:hAnsi="Arial"/>
          <w:sz w:val="18"/>
          <w:szCs w:val="18"/>
          <w:color w:val="auto"/>
        </w:rPr>
      </w:pPr>
    </w:p>
    <w:p>
      <w:pPr>
        <w:ind w:left="440" w:right="80" w:firstLine="421"/>
        <w:spacing w:after="0" w:line="262" w:lineRule="auto"/>
        <w:tabs>
          <w:tab w:leader="none" w:pos="111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rendering against the Servicer of one or more final judgments, decrees or orders by a court or arbitrator of competent jurisdiction for the payment of money in excess individually or in the aggregate of $25,000,000, and the continuance of such judgment, decree or order unsatisfied and in effect for any period of more than 60 consecutive days without a stay of execution;</w:t>
      </w:r>
    </w:p>
    <w:p>
      <w:pPr>
        <w:spacing w:after="0" w:line="74" w:lineRule="exact"/>
        <w:rPr>
          <w:rFonts w:ascii="Arial" w:cs="Arial" w:eastAsia="Arial" w:hAnsi="Arial"/>
          <w:sz w:val="18"/>
          <w:szCs w:val="18"/>
          <w:color w:val="auto"/>
        </w:rPr>
      </w:pPr>
    </w:p>
    <w:p>
      <w:pPr>
        <w:ind w:left="1120" w:hanging="259"/>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event or series of events that would result in a “Change of Control”;</w:t>
      </w:r>
    </w:p>
    <w:p>
      <w:pPr>
        <w:spacing w:after="0" w:line="115" w:lineRule="exact"/>
        <w:rPr>
          <w:rFonts w:ascii="Arial" w:cs="Arial" w:eastAsia="Arial" w:hAnsi="Arial"/>
          <w:sz w:val="18"/>
          <w:szCs w:val="18"/>
          <w:color w:val="auto"/>
        </w:rPr>
      </w:pPr>
    </w:p>
    <w:p>
      <w:pPr>
        <w:ind w:left="1080" w:hanging="219"/>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occurrence of an Event of Default (past any applicable notice or cure period provided in the definition thereof); or</w:t>
      </w:r>
    </w:p>
    <w:p>
      <w:pPr>
        <w:spacing w:after="0" w:line="115" w:lineRule="exact"/>
        <w:rPr>
          <w:rFonts w:ascii="Arial" w:cs="Arial" w:eastAsia="Arial" w:hAnsi="Arial"/>
          <w:sz w:val="18"/>
          <w:szCs w:val="18"/>
          <w:color w:val="auto"/>
        </w:rPr>
      </w:pPr>
    </w:p>
    <w:p>
      <w:pPr>
        <w:ind w:left="440" w:right="260" w:firstLine="421"/>
        <w:spacing w:after="0" w:line="305" w:lineRule="auto"/>
        <w:tabs>
          <w:tab w:leader="none" w:pos="109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other event which has caused a Material Adverse Effect on the assets, liabilities, financial condition, business or operations of the Servicer or the ability of the Servicer to meet its obligations under the Transaction Documents to which it is a party.</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 Termination Notice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Servicer’s Certificate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6.08(c)</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Fees</w:t>
      </w:r>
      <w:r>
        <w:rPr>
          <w:rFonts w:ascii="Arial" w:cs="Arial" w:eastAsia="Arial" w:hAnsi="Arial"/>
          <w:sz w:val="18"/>
          <w:szCs w:val="18"/>
          <w:color w:val="auto"/>
        </w:rPr>
        <w:t>” means the Senior Servicing Fee and the Subordinate Servicing Fee, collectively.</w:t>
      </w:r>
    </w:p>
    <w:p>
      <w:pPr>
        <w:spacing w:after="0" w:line="223" w:lineRule="exact"/>
        <w:rPr>
          <w:sz w:val="20"/>
          <w:szCs w:val="20"/>
          <w:color w:val="auto"/>
        </w:rPr>
      </w:pPr>
    </w:p>
    <w:p>
      <w:pPr>
        <w:ind w:right="2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File</w:t>
      </w:r>
      <w:r>
        <w:rPr>
          <w:rFonts w:ascii="Arial" w:cs="Arial" w:eastAsia="Arial" w:hAnsi="Arial"/>
          <w:sz w:val="18"/>
          <w:szCs w:val="18"/>
          <w:color w:val="auto"/>
        </w:rPr>
        <w:t>” means, for each Loan Asset, (a) copies of each of the Required Loan Documents and (b) any other portion of the Loan Asset File which is not part of the Required Loan Documents.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Servicing Report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6.08(b)(i)</w:t>
      </w:r>
      <w:r>
        <w:rPr>
          <w:rFonts w:ascii="Arial" w:cs="Arial" w:eastAsia="Arial" w:hAnsi="Arial"/>
          <w:sz w:val="18"/>
          <w:szCs w:val="18"/>
          <w:color w:val="auto"/>
        </w:rPr>
        <w:t>.</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60" w:top="273" w:right="499" w:bottom="1440" w:gutter="0" w:footer="0" w:header="0"/>
        </w:sectPr>
      </w:pPr>
    </w:p>
    <w:bookmarkStart w:id="119" w:name="page120"/>
    <w:bookmarkEnd w:id="119"/>
    <w:p>
      <w:pPr>
        <w:ind w:firstLine="98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Servicing Standard</w:t>
      </w:r>
      <w:r>
        <w:rPr>
          <w:rFonts w:ascii="Arial" w:cs="Arial" w:eastAsia="Arial" w:hAnsi="Arial"/>
          <w:sz w:val="16"/>
          <w:szCs w:val="16"/>
          <w:color w:val="auto"/>
        </w:rPr>
        <w:t>” means, with respect to any Loan Assets included in the Collateral Portfolio, to service and administer such Loan Assets on behalf of the Secured Parties in accordance with the Credit and Collection Policy, which Credit and Collection Policy provides the servicing and administration of the Loan Assets in accordance with Applicable Law, the terms of this Agreement, the Loan Agreements, all customary and usual servicing practices for loans like the Loan Assets and, to the extent consistent with the foregoing, (a) the higher of: (A) the standards, policies and procedures that the Servicer reasonably believes to be customarily followed by institutional managers of national standing relating to assets of the nature and character of the Collateral Portfolio and (B) the same care, skill, prudence and diligence with which the Servicer services and administers loans for its own account or for the account of others; (b) with a view to maximize the value of the Loan Assets; and (c) without regard to: (i) any relationship that the Servicer or any Affiliate of the Servicer may have with any Obligor or any Affiliate of any Obligor, (ii) the Servicer’s obligations to incur servicing and administrative expenses with respect to a Loan Asset, (iii) the Servicer’s right to receive compensation for its services hereunder or with respect to any particular transaction, (iv) the ownership by the Servicer or any Affiliate thereof of any Loan Assets, (v) the ownership, servicing or management for others by the Servicer of any other loans or property by the Servicer or (vi) any relationship that the Servicer or any Affiliate of the Servicer may have with any holder of other loans of the Obligor with respect to such Loan Assets.</w:t>
      </w:r>
    </w:p>
    <w:p>
      <w:pPr>
        <w:spacing w:after="0" w:line="173"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Equity</w:t>
      </w:r>
      <w:r>
        <w:rPr>
          <w:rFonts w:ascii="Arial" w:cs="Arial" w:eastAsia="Arial" w:hAnsi="Arial"/>
          <w:sz w:val="18"/>
          <w:szCs w:val="18"/>
          <w:color w:val="auto"/>
        </w:rPr>
        <w:t>” means, at any date, the amount determined on a consolidated basis, without duplication, in accordance with GAAP, of shareholders equity for the Servicer and its Subsidiaries at such date.</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Solar Capital</w:t>
      </w:r>
      <w:r>
        <w:rPr>
          <w:rFonts w:ascii="Arial" w:cs="Arial" w:eastAsia="Arial" w:hAnsi="Arial"/>
          <w:sz w:val="18"/>
          <w:szCs w:val="18"/>
          <w:color w:val="auto"/>
        </w:rPr>
        <w:t>” means SLR Senior Investment Corp. (f/k/a Solar Senior Capital Ltd.).</w:t>
      </w:r>
    </w:p>
    <w:p>
      <w:pPr>
        <w:spacing w:after="0" w:line="223" w:lineRule="exact"/>
        <w:rPr>
          <w:sz w:val="20"/>
          <w:szCs w:val="20"/>
          <w:color w:val="auto"/>
        </w:rPr>
      </w:pPr>
    </w:p>
    <w:p>
      <w:pPr>
        <w:ind w:right="3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Solar Management</w:t>
      </w:r>
      <w:r>
        <w:rPr>
          <w:rFonts w:ascii="Arial" w:cs="Arial" w:eastAsia="Arial" w:hAnsi="Arial"/>
          <w:sz w:val="18"/>
          <w:szCs w:val="18"/>
          <w:color w:val="auto"/>
        </w:rPr>
        <w:t>” means SLR Capital Partners, LLC (f/k/a Solar Capital Partners, LLC) and SLR Capital Management, LLC (f/k/a Solar Capital Management, LLC), collectively.</w:t>
      </w:r>
    </w:p>
    <w:p>
      <w:pPr>
        <w:spacing w:after="0" w:line="171" w:lineRule="exact"/>
        <w:rPr>
          <w:sz w:val="20"/>
          <w:szCs w:val="20"/>
          <w:color w:val="auto"/>
        </w:rPr>
      </w:pPr>
    </w:p>
    <w:p>
      <w:pPr>
        <w:ind w:right="20" w:firstLine="987"/>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as to any Person at any time, having a state of affairs such that all of the following conditions are met: (a) the fair value of the property of such Person is greater than the amount of such Person’s liabilities (including disputed, contingent and unliquidated liabilities) as such value is established and liabilities evaluated for purposes of Section 101(32) of the Bankruptcy Code; (b) the present fair saleable value of the property of such Person in an orderly liquidation of such Person is not less than the amount that will be required to pay the probable liability of such Person on its debts and other liabilities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a business or a transaction, and does not propose to engage in a business or a transaction, for which such Person’s property assets would constitute unreasonably small capital.</w:t>
      </w:r>
    </w:p>
    <w:p>
      <w:pPr>
        <w:spacing w:after="0" w:line="178" w:lineRule="exact"/>
        <w:rPr>
          <w:sz w:val="20"/>
          <w:szCs w:val="20"/>
          <w:color w:val="auto"/>
        </w:rPr>
      </w:pPr>
    </w:p>
    <w:p>
      <w:pPr>
        <w:ind w:right="22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SOFR</w:t>
      </w:r>
      <w:r>
        <w:rPr>
          <w:rFonts w:ascii="Arial" w:cs="Arial" w:eastAsia="Arial" w:hAnsi="Arial"/>
          <w:sz w:val="17"/>
          <w:szCs w:val="17"/>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60" w:top="273" w:right="479" w:bottom="1440" w:gutter="0" w:footer="0" w:header="0"/>
        </w:sectPr>
      </w:pPr>
    </w:p>
    <w:bookmarkStart w:id="120" w:name="page121"/>
    <w:bookmarkEnd w:id="12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SOFR Administrator</w:t>
      </w:r>
      <w:r>
        <w:rPr>
          <w:rFonts w:ascii="Arial" w:cs="Arial" w:eastAsia="Arial" w:hAnsi="Arial"/>
          <w:sz w:val="16"/>
          <w:szCs w:val="16"/>
          <w:color w:val="auto"/>
        </w:rPr>
        <w:t>” means the Federal Reserve Bank of New York (or a successor administrator of the secured overnight 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08" w:lineRule="exact"/>
        <w:rPr>
          <w:sz w:val="20"/>
          <w:szCs w:val="20"/>
          <w:color w:val="auto"/>
        </w:rPr>
      </w:pPr>
    </w:p>
    <w:p>
      <w:pPr>
        <w:ind w:right="16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Administrator’s Website</w:t>
      </w:r>
      <w:r>
        <w:rPr>
          <w:rFonts w:ascii="Arial" w:cs="Arial" w:eastAsia="Arial" w:hAnsi="Arial"/>
          <w:sz w:val="16"/>
          <w:szCs w:val="16"/>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25" w:lineRule="exact"/>
        <w:rPr>
          <w:sz w:val="20"/>
          <w:szCs w:val="20"/>
          <w:color w:val="auto"/>
        </w:rPr>
      </w:pPr>
    </w:p>
    <w:p>
      <w:pPr>
        <w:ind w:right="12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w:t>
      </w:r>
      <w:r>
        <w:rPr>
          <w:rFonts w:ascii="Arial" w:cs="Arial" w:eastAsia="Arial" w:hAnsi="Arial"/>
          <w:sz w:val="16"/>
          <w:szCs w:val="16"/>
          <w:color w:val="auto"/>
        </w:rPr>
        <w:t>” means, for any day during the Interest Accrual Period with respect to Advances denominated in GBP, the rate per annum equal to the SONIA (GBP overnight index average) reference rate displayed on the relevant screen of any authorized distributor of that reference rate.</w:t>
      </w:r>
    </w:p>
    <w:p>
      <w:pPr>
        <w:spacing w:after="0" w:line="125" w:lineRule="exact"/>
        <w:rPr>
          <w:sz w:val="20"/>
          <w:szCs w:val="20"/>
          <w:color w:val="auto"/>
        </w:rPr>
      </w:pPr>
    </w:p>
    <w:p>
      <w:pPr>
        <w:ind w:right="60" w:firstLine="98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Recoveries</w:t>
      </w:r>
      <w:r>
        <w:rPr>
          <w:rFonts w:ascii="Arial" w:cs="Arial" w:eastAsia="Arial" w:hAnsi="Arial"/>
          <w:sz w:val="16"/>
          <w:szCs w:val="16"/>
          <w:color w:val="auto"/>
        </w:rPr>
        <w:t xml:space="preserve">” means with respect to any Charged-Off Asset, the higher of (i) prior to the resolution of defaults, workouts, settlements, application of Recoveries and compromises related to such Charged-Off Assets, either (x) 50% of the Updated Assigned Value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by </w:t>
      </w:r>
      <w:r>
        <w:rPr>
          <w:rFonts w:ascii="Arial" w:cs="Arial" w:eastAsia="Arial" w:hAnsi="Arial"/>
          <w:sz w:val="16"/>
          <w:szCs w:val="16"/>
          <w:color w:val="auto"/>
        </w:rPr>
        <w:t>the Outstanding Loan Balance of any Charged-Off Asset that is a First Lien Loan Asset, or (y) 25% of the Updated Assigned Value</w:t>
      </w:r>
      <w:r>
        <w:rPr>
          <w:rFonts w:ascii="Arial" w:cs="Arial" w:eastAsia="Arial" w:hAnsi="Arial"/>
          <w:sz w:val="16"/>
          <w:szCs w:val="16"/>
          <w:i w:val="1"/>
          <w:iCs w:val="1"/>
          <w:color w:val="auto"/>
        </w:rPr>
        <w:t xml:space="preserve"> multiplied by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Loan Balance of any Charged-Off Asset that is a Second Lien Loan Asset, and (ii) at all times, the aggregate amount of actual</w:t>
      </w:r>
    </w:p>
    <w:p>
      <w:pPr>
        <w:spacing w:after="0" w:line="1" w:lineRule="exact"/>
        <w:rPr>
          <w:sz w:val="20"/>
          <w:szCs w:val="20"/>
          <w:color w:val="auto"/>
        </w:rPr>
      </w:pPr>
    </w:p>
    <w:p>
      <w:pPr>
        <w:ind w:right="60" w:firstLine="2"/>
        <w:spacing w:after="0" w:line="320" w:lineRule="auto"/>
        <w:tabs>
          <w:tab w:leader="none" w:pos="254"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Recoveries, </w:t>
      </w:r>
      <w:r>
        <w:rPr>
          <w:rFonts w:ascii="Arial" w:cs="Arial" w:eastAsia="Arial" w:hAnsi="Arial"/>
          <w:sz w:val="16"/>
          <w:szCs w:val="16"/>
          <w:i w:val="1"/>
          <w:iCs w:val="1"/>
          <w:color w:val="auto"/>
        </w:rPr>
        <w:t>plus</w:t>
      </w:r>
      <w:r>
        <w:rPr>
          <w:rFonts w:ascii="Arial" w:cs="Arial" w:eastAsia="Arial" w:hAnsi="Arial"/>
          <w:sz w:val="16"/>
          <w:szCs w:val="16"/>
          <w:color w:val="auto"/>
        </w:rPr>
        <w:t xml:space="preserve"> (y) any other cash collections and recoveries received with respect to such Loan Asset that have been directed by the Servicer to be applied, and applied by the Borrower, towards the reduction of principal of such Loan Asset on the books and records of the Borrower</w:t>
      </w:r>
    </w:p>
    <w:p>
      <w:pPr>
        <w:spacing w:after="0" w:line="140" w:lineRule="exact"/>
        <w:rPr>
          <w:sz w:val="20"/>
          <w:szCs w:val="20"/>
          <w:color w:val="auto"/>
        </w:rPr>
      </w:pPr>
    </w:p>
    <w:p>
      <w:pPr>
        <w:ind w:right="3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with respect to any Floating Rate Loan Asset, the specified cash interest percentage in excess of the prime rate or the London Interbank Offered Rate thereunder.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Spreadsheet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7.02(b)(ii)</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w:t>
      </w:r>
      <w:r>
        <w:rPr>
          <w:rFonts w:ascii="Arial" w:cs="Arial" w:eastAsia="Arial" w:hAnsi="Arial"/>
          <w:sz w:val="18"/>
          <w:szCs w:val="18"/>
          <w:color w:val="auto"/>
        </w:rPr>
        <w:t>” means one of the fifty states of the United States or the District of Columbia.</w:t>
      </w:r>
    </w:p>
    <w:p>
      <w:pPr>
        <w:spacing w:after="0" w:line="223" w:lineRule="exact"/>
        <w:rPr>
          <w:sz w:val="20"/>
          <w:szCs w:val="20"/>
          <w:color w:val="auto"/>
        </w:rPr>
      </w:pPr>
    </w:p>
    <w:p>
      <w:pPr>
        <w:ind w:firstLine="98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 Servicing Fees</w:t>
      </w:r>
      <w:r>
        <w:rPr>
          <w:rFonts w:ascii="Arial" w:cs="Arial" w:eastAsia="Arial" w:hAnsi="Arial"/>
          <w:sz w:val="16"/>
          <w:szCs w:val="16"/>
          <w:color w:val="auto"/>
        </w:rPr>
        <w:t xml:space="preserve">” means the fee payable to the Servicer on each Payment Date in arrears in respect of each Remittance Period, which fee shall be equal to the product of (i) 0.50%, (ii) the weighted average daily Aggregate Outstanding Principal Balance of all Eligible Loan Assets for such Remittance Period, and (iii) the actual number of days in such Remittance Period </w:t>
      </w:r>
      <w:r>
        <w:rPr>
          <w:rFonts w:ascii="Arial" w:cs="Arial" w:eastAsia="Arial" w:hAnsi="Arial"/>
          <w:sz w:val="16"/>
          <w:szCs w:val="16"/>
          <w:i w:val="1"/>
          <w:iCs w:val="1"/>
          <w:color w:val="auto"/>
        </w:rPr>
        <w:t>divided by</w:t>
      </w:r>
      <w:r>
        <w:rPr>
          <w:rFonts w:ascii="Arial" w:cs="Arial" w:eastAsia="Arial" w:hAnsi="Arial"/>
          <w:sz w:val="16"/>
          <w:szCs w:val="16"/>
          <w:color w:val="auto"/>
        </w:rPr>
        <w:t xml:space="preserve"> 360;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rate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hereof may be increased up to a level determined by the Administrative Agent in its sole and absolute discretion as then reflecting the arm’s length servicing fee in the event that the Backup Servicer or other replacement Servicer is appointed pursuant to </w:t>
      </w:r>
      <w:r>
        <w:rPr>
          <w:rFonts w:ascii="Arial" w:cs="Arial" w:eastAsia="Arial" w:hAnsi="Arial"/>
          <w:sz w:val="16"/>
          <w:szCs w:val="16"/>
          <w:u w:val="single" w:color="auto"/>
          <w:color w:val="auto"/>
        </w:rPr>
        <w:t>Section 6.01(c)</w:t>
      </w:r>
      <w:r>
        <w:rPr>
          <w:rFonts w:ascii="Arial" w:cs="Arial" w:eastAsia="Arial" w:hAnsi="Arial"/>
          <w:sz w:val="16"/>
          <w:szCs w:val="16"/>
          <w:color w:val="auto"/>
        </w:rPr>
        <w:t>.</w:t>
      </w:r>
    </w:p>
    <w:p>
      <w:pPr>
        <w:spacing w:after="0" w:line="159" w:lineRule="exact"/>
        <w:rPr>
          <w:sz w:val="20"/>
          <w:szCs w:val="20"/>
          <w:color w:val="auto"/>
        </w:rPr>
      </w:pPr>
    </w:p>
    <w:p>
      <w:pPr>
        <w:ind w:right="60" w:firstLine="987"/>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0"/>
          </w:cols>
          <w:pgMar w:left="460" w:top="273" w:right="499" w:bottom="1440" w:gutter="0" w:footer="0" w:header="0"/>
        </w:sectPr>
      </w:pPr>
    </w:p>
    <w:bookmarkStart w:id="121" w:name="page122"/>
    <w:bookmarkEnd w:id="121"/>
    <w:p>
      <w:pPr>
        <w:ind w:right="52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Substitute Eligible Loan Asset</w:t>
      </w:r>
      <w:r>
        <w:rPr>
          <w:rFonts w:ascii="Arial" w:cs="Arial" w:eastAsia="Arial" w:hAnsi="Arial"/>
          <w:sz w:val="18"/>
          <w:szCs w:val="18"/>
          <w:color w:val="auto"/>
        </w:rPr>
        <w:t xml:space="preserve">” means each Eligible Loan Asset Pledged by the Borrower to the Collateral Agent, on behalf of the Secured Parties,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2.07(e)(ii)</w:t>
      </w:r>
      <w:r>
        <w:rPr>
          <w:rFonts w:ascii="Arial" w:cs="Arial" w:eastAsia="Arial" w:hAnsi="Arial"/>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2.07(a)</w:t>
      </w:r>
      <w:r>
        <w:rPr>
          <w:rFonts w:ascii="Arial" w:cs="Arial" w:eastAsia="Arial" w:hAnsi="Arial"/>
          <w:sz w:val="18"/>
          <w:szCs w:val="18"/>
          <w:color w:val="auto"/>
        </w:rPr>
        <w:t>.</w:t>
      </w:r>
    </w:p>
    <w:p>
      <w:pPr>
        <w:spacing w:after="0" w:line="223" w:lineRule="exact"/>
        <w:rPr>
          <w:sz w:val="20"/>
          <w:szCs w:val="20"/>
          <w:color w:val="auto"/>
        </w:rPr>
      </w:pPr>
    </w:p>
    <w:p>
      <w:pPr>
        <w:ind w:right="10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Suspension Period</w:t>
      </w:r>
      <w:r>
        <w:rPr>
          <w:rFonts w:ascii="Arial" w:cs="Arial" w:eastAsia="Arial" w:hAnsi="Arial"/>
          <w:sz w:val="18"/>
          <w:szCs w:val="18"/>
          <w:color w:val="auto"/>
        </w:rPr>
        <w:t>” means the period of time commencing on the RAC Reporting Date and ending on the date of receipt by the Administrative Agent of written certification from the Servicer that demonstrates that Solar Capital is in compliance with the Required Asset Coverage Ratio.</w:t>
      </w:r>
    </w:p>
    <w:p>
      <w:pPr>
        <w:spacing w:after="0" w:line="182" w:lineRule="exact"/>
        <w:rPr>
          <w:sz w:val="20"/>
          <w:szCs w:val="20"/>
          <w:color w:val="auto"/>
        </w:rPr>
      </w:pPr>
    </w:p>
    <w:p>
      <w:pPr>
        <w:ind w:right="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present or future taxes, levies, imposts, duties, charges, assessments or fees of any nature (including interest, penalties, and additions thereto) that are imposed by any Governmental Authority.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Tenth Amendment Effective Date</w:t>
      </w:r>
      <w:r>
        <w:rPr>
          <w:rFonts w:ascii="Arial" w:cs="Arial" w:eastAsia="Arial" w:hAnsi="Arial"/>
          <w:sz w:val="18"/>
          <w:szCs w:val="18"/>
          <w:color w:val="auto"/>
        </w:rPr>
        <w:t>” means December 29, 2021.</w:t>
      </w:r>
    </w:p>
    <w:p>
      <w:pPr>
        <w:spacing w:after="0" w:line="223" w:lineRule="exact"/>
        <w:rPr>
          <w:sz w:val="20"/>
          <w:szCs w:val="20"/>
          <w:color w:val="auto"/>
        </w:rPr>
      </w:pPr>
    </w:p>
    <w:p>
      <w:pPr>
        <w:ind w:right="1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Asset</w:t>
      </w:r>
      <w:r>
        <w:rPr>
          <w:rFonts w:ascii="Arial" w:cs="Arial" w:eastAsia="Arial" w:hAnsi="Arial"/>
          <w:sz w:val="18"/>
          <w:szCs w:val="18"/>
          <w:color w:val="auto"/>
        </w:rPr>
        <w:t>” means a Loan Asset that is a term loan that has been fully funded and does not contain any unfunded commitment on the part of the Transferor arising from an extension of credit by the Transferor to an Obligor.</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w:t>
      </w:r>
      <w:r>
        <w:rPr>
          <w:rFonts w:ascii="Arial" w:cs="Arial" w:eastAsia="Arial" w:hAnsi="Arial"/>
          <w:sz w:val="16"/>
          <w:szCs w:val="16"/>
          <w:color w:val="auto"/>
        </w:rPr>
        <w:t>” means the forward-looking term rate based on SOFR that has been selected or recommended by the Relevant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Body.</w:t>
      </w:r>
    </w:p>
    <w:p>
      <w:pPr>
        <w:spacing w:after="0" w:line="208" w:lineRule="exact"/>
        <w:rPr>
          <w:sz w:val="20"/>
          <w:szCs w:val="20"/>
          <w:color w:val="auto"/>
        </w:rPr>
      </w:pPr>
    </w:p>
    <w:p>
      <w:pPr>
        <w:jc w:val="both"/>
        <w:ind w:right="32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Commitments</w:t>
      </w:r>
      <w:r>
        <w:rPr>
          <w:rFonts w:ascii="Arial" w:cs="Arial" w:eastAsia="Arial" w:hAnsi="Arial"/>
          <w:sz w:val="18"/>
          <w:szCs w:val="18"/>
          <w:color w:val="auto"/>
        </w:rPr>
        <w:t>” for any Liquidity Bank or Institutional Lender as of any date of determination, means the aggregate of the Base Commitments, Delayed Draw Commitments and Additional Commitments (which shall not exceed $600,000,000 in the aggregate at any time) as in effect at such time for such Person.</w:t>
      </w:r>
    </w:p>
    <w:p>
      <w:pPr>
        <w:spacing w:after="0" w:line="182" w:lineRule="exact"/>
        <w:rPr>
          <w:sz w:val="20"/>
          <w:szCs w:val="20"/>
          <w:color w:val="auto"/>
        </w:rPr>
      </w:pPr>
    </w:p>
    <w:p>
      <w:pPr>
        <w:ind w:right="3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Debt/EBITDA Ratio</w:t>
      </w:r>
      <w:r>
        <w:rPr>
          <w:rFonts w:ascii="Arial" w:cs="Arial" w:eastAsia="Arial" w:hAnsi="Arial"/>
          <w:sz w:val="18"/>
          <w:szCs w:val="18"/>
          <w:color w:val="auto"/>
        </w:rPr>
        <w:t>” means for any Obligor, the ratio of (x) Indebtedness of such Obligor, to (y) EBITDA of such Obligor, as reflected on such Obligor’s most recent financial reporting under its Loan Agreement.</w:t>
      </w:r>
    </w:p>
    <w:p>
      <w:pPr>
        <w:spacing w:after="0" w:line="171" w:lineRule="exact"/>
        <w:rPr>
          <w:sz w:val="20"/>
          <w:szCs w:val="20"/>
          <w:color w:val="auto"/>
        </w:rPr>
      </w:pPr>
    </w:p>
    <w:p>
      <w:pPr>
        <w:ind w:right="16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Revolving Note(s), any Joinder Supplement, the Contribution Agreement, the Collection Account Agreement, the URCA Account Agreement, the Fee Letters, each collateral assignment agreement and each document, instrument or agreement related to any of the foregoing.</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Transferee Letter</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12.04(a)</w:t>
      </w:r>
      <w:r>
        <w:rPr>
          <w:rFonts w:ascii="Arial" w:cs="Arial" w:eastAsia="Arial" w:hAnsi="Arial"/>
          <w:sz w:val="18"/>
          <w:szCs w:val="18"/>
          <w:color w:val="auto"/>
        </w:rPr>
        <w:t>.</w:t>
      </w:r>
    </w:p>
    <w:p>
      <w:pPr>
        <w:spacing w:after="0" w:line="223" w:lineRule="exact"/>
        <w:rPr>
          <w:sz w:val="20"/>
          <w:szCs w:val="20"/>
          <w:color w:val="auto"/>
        </w:rPr>
      </w:pPr>
    </w:p>
    <w:p>
      <w:pPr>
        <w:ind w:right="36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Transferor</w:t>
      </w:r>
      <w:r>
        <w:rPr>
          <w:rFonts w:ascii="Arial" w:cs="Arial" w:eastAsia="Arial" w:hAnsi="Arial"/>
          <w:sz w:val="18"/>
          <w:szCs w:val="18"/>
          <w:color w:val="auto"/>
        </w:rPr>
        <w:t>” means Solar Capital, in its capacity as the transferor hereunder and as the contributor under the Contribution Agreement, together with its successors and assigns in such capacity.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from time to time in effect in the specified jurisdiction.</w:t>
      </w:r>
    </w:p>
    <w:p>
      <w:pPr>
        <w:spacing w:after="0" w:line="15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460" w:top="273" w:right="499" w:bottom="1440" w:gutter="0" w:footer="0" w:header="0"/>
        </w:sectPr>
      </w:pPr>
    </w:p>
    <w:bookmarkStart w:id="122" w:name="page123"/>
    <w:bookmarkEnd w:id="12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08"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Underlying Collateral</w:t>
      </w:r>
      <w:r>
        <w:rPr>
          <w:rFonts w:ascii="Arial" w:cs="Arial" w:eastAsia="Arial" w:hAnsi="Arial"/>
          <w:sz w:val="18"/>
          <w:szCs w:val="18"/>
          <w:color w:val="auto"/>
        </w:rPr>
        <w:t>” means, with respect to a Loan Asset or with respect to First Lien Debt, any property or other assets designated and pledged or mortgaged as collateral to secure repayment of such Loan Asset or such First Lien Debt, as applicable, including, without limitation, mortgaged property or a pledge of the stock, membership or other ownership interests in the related Obligor and all proceeds from any sale or other disposition of such property or other assets.</w:t>
      </w:r>
    </w:p>
    <w:p>
      <w:pPr>
        <w:spacing w:after="0" w:line="185"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Undisclosed Administration</w:t>
      </w:r>
      <w:r>
        <w:rPr>
          <w:rFonts w:ascii="Arial" w:cs="Arial" w:eastAsia="Arial" w:hAnsi="Arial"/>
          <w:sz w:val="18"/>
          <w:szCs w:val="18"/>
          <w:color w:val="auto"/>
        </w:rPr>
        <w:t>” means in relation to any Liquidity Bank or Institutional Lender, the appointment of an administrator, provisional liquidator, conservator, receiver, trustee, custodian or other similar official by a supervisory authority or regulator under or based on the law in the country where such Lender is subject to home jurisdiction supervision if applicable law requires that such appointment is not to be publicly disclosed.</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Undrawn Fee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Undrawn Fee Rate</w:t>
      </w:r>
      <w:r>
        <w:rPr>
          <w:rFonts w:ascii="Arial" w:cs="Arial" w:eastAsia="Arial" w:hAnsi="Arial"/>
          <w:sz w:val="18"/>
          <w:szCs w:val="18"/>
          <w:color w:val="auto"/>
        </w:rPr>
        <w:t>” means the applicable percentages set forth in the Additional Terms Addendum.</w:t>
      </w:r>
    </w:p>
    <w:p>
      <w:pPr>
        <w:spacing w:after="0" w:line="223" w:lineRule="exact"/>
        <w:rPr>
          <w:sz w:val="20"/>
          <w:szCs w:val="20"/>
          <w:color w:val="auto"/>
        </w:rPr>
      </w:pPr>
    </w:p>
    <w:p>
      <w:pPr>
        <w:ind w:firstLine="98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Revolving Commitments</w:t>
      </w:r>
      <w:r>
        <w:rPr>
          <w:rFonts w:ascii="Arial" w:cs="Arial" w:eastAsia="Arial" w:hAnsi="Arial"/>
          <w:sz w:val="17"/>
          <w:szCs w:val="17"/>
          <w:color w:val="auto"/>
        </w:rPr>
        <w:t xml:space="preserve">” means, as of any Determination Date, the aggregate amount of commitments under Revolving Loan Assets that are Eligible Loan Assets to provide additional funding thereunder, after taking into account as of any Determination Date (i) the increase or decrease of such aggregate commitments under the Loan Agreements governing such Revolving Loan Assets, (ii) the increase or reduction of such aggregate commitments resulting from the sales, substitutions and repurchases of Revolving Loan Assets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prior to such Determination Date, and (iii) the increase or decrease (as reflected in Revolving Loan Principal Collections received in the Collection Account) of the principal amount outstanding under such Revolving Loan Assets, or otherwise.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Unintended Recipient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12.23(a)(i)</w:t>
      </w:r>
      <w:r>
        <w:rPr>
          <w:rFonts w:ascii="Arial" w:cs="Arial" w:eastAsia="Arial" w:hAnsi="Arial"/>
          <w:sz w:val="18"/>
          <w:szCs w:val="18"/>
          <w:color w:val="auto"/>
        </w:rPr>
        <w:t>.</w:t>
      </w:r>
    </w:p>
    <w:p>
      <w:pPr>
        <w:spacing w:after="0" w:line="223"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5" w:lineRule="exact"/>
        <w:rPr>
          <w:sz w:val="20"/>
          <w:szCs w:val="20"/>
          <w:color w:val="auto"/>
        </w:rPr>
      </w:pPr>
    </w:p>
    <w:p>
      <w:pPr>
        <w:ind w:right="7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1" w:lineRule="exact"/>
        <w:rPr>
          <w:sz w:val="20"/>
          <w:szCs w:val="20"/>
          <w:color w:val="auto"/>
        </w:rPr>
      </w:pPr>
    </w:p>
    <w:p>
      <w:pPr>
        <w:ind w:right="80" w:firstLine="98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Unitranche Loan Asset</w:t>
      </w:r>
      <w:r>
        <w:rPr>
          <w:rFonts w:ascii="Arial" w:cs="Arial" w:eastAsia="Arial" w:hAnsi="Arial"/>
          <w:sz w:val="17"/>
          <w:szCs w:val="17"/>
          <w:color w:val="auto"/>
        </w:rPr>
        <w:t>” means any Loan Asset that (i) is secured by a valid and perfected first priority Lien on substantially all of the Obligor’s assets constituting Underlying Collateral for the Loan Asset, subject to any “permitted liens” as defined in the applicable Loan Agreement for such Loan Asset or such comparable definition if “permitted liens” is not defined therein, (ii) provides that the payment obligation of the Obligor on such Loan Asset is either senior to, or pari passu with, all other Indebtedness of such Obligor, and (iii) for which no other Indebtedness of the Obligor secured by a Lien on the assets constituting Underlying Collateral for the Loan Asset exists or is outstanding.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0"/>
          </w:cols>
          <w:pgMar w:left="460" w:top="273" w:right="479" w:bottom="1440" w:gutter="0" w:footer="0" w:header="0"/>
        </w:sectPr>
      </w:pPr>
    </w:p>
    <w:bookmarkStart w:id="123" w:name="page124"/>
    <w:bookmarkEnd w:id="123"/>
    <w:p>
      <w:pPr>
        <w:ind w:right="200"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Unmatured Event of Default</w:t>
      </w:r>
      <w:r>
        <w:rPr>
          <w:rFonts w:ascii="Arial" w:cs="Arial" w:eastAsia="Arial" w:hAnsi="Arial"/>
          <w:sz w:val="18"/>
          <w:szCs w:val="18"/>
          <w:color w:val="auto"/>
        </w:rPr>
        <w:t>” means any event that, if it continues uncured, will, with lapse of time, notice or lapse of time and notice, constitute an Event of Default.</w:t>
      </w:r>
    </w:p>
    <w:p>
      <w:pPr>
        <w:spacing w:after="0" w:line="171" w:lineRule="exact"/>
        <w:rPr>
          <w:sz w:val="20"/>
          <w:szCs w:val="20"/>
          <w:color w:val="auto"/>
        </w:rPr>
      </w:pPr>
    </w:p>
    <w:p>
      <w:pPr>
        <w:ind w:right="4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w:t>
      </w:r>
      <w:r>
        <w:rPr>
          <w:rFonts w:ascii="Arial" w:cs="Arial" w:eastAsia="Arial" w:hAnsi="Arial"/>
          <w:sz w:val="18"/>
          <w:szCs w:val="18"/>
          <w:color w:val="auto"/>
        </w:rPr>
        <w:t>” means, for any Person, cash of such Person available for use for general corporate purposes and not held in any reserve account or legally or contractually restricted for any particular purposes.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Portion</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3" w:lineRule="exact"/>
        <w:rPr>
          <w:sz w:val="20"/>
          <w:szCs w:val="20"/>
          <w:color w:val="auto"/>
        </w:rPr>
      </w:pPr>
    </w:p>
    <w:p>
      <w:pPr>
        <w:ind w:firstLine="98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Updated Assigned Value</w:t>
      </w:r>
      <w:r>
        <w:rPr>
          <w:rFonts w:ascii="Arial" w:cs="Arial" w:eastAsia="Arial" w:hAnsi="Arial"/>
          <w:sz w:val="16"/>
          <w:szCs w:val="16"/>
          <w:color w:val="auto"/>
        </w:rPr>
        <w:t xml:space="preserve">” means, with respect to each Loan Asset as of any date, the value (expressed as a percentage of the Outstanding Principal Balance) of such Loan Asset reflected on the books and records of Solar Capital, as adjusted pursuant to periodic valuations as required by, and in accordance with, the 1940 Act and any orders of the Securities and Exchange Commission issued to Solar Capital, to be determined by the Board of Directors of Solar Capital and reviewed by its auditors;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if Solar Senior does not report to the Servicer, the Administrative Agent and the Backup Servicer the results of its updated valuation on any Loan Asset within 45 days of the end of each fiscal quarter of Solar Capital (or more frequently to the extent required under the 1940 Act), the “Updated Assigned Value” of such Loan Asset shall be deemed to equal zero until Solar Capital provides such report;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any Updated Assigned Value exceed 100%,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any Loan Asset that is determined to have an Updated Assigned Value equal to or greater than 95% shall be deemed to have an Assigned Value equal to 100%.</w:t>
      </w:r>
    </w:p>
    <w:p>
      <w:pPr>
        <w:spacing w:after="0" w:line="169" w:lineRule="exact"/>
        <w:rPr>
          <w:sz w:val="20"/>
          <w:szCs w:val="20"/>
          <w:color w:val="auto"/>
        </w:rPr>
      </w:pPr>
    </w:p>
    <w:p>
      <w:pPr>
        <w:ind w:right="60" w:firstLine="987"/>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URCA Account</w:t>
      </w:r>
      <w:r>
        <w:rPr>
          <w:rFonts w:ascii="Arial" w:cs="Arial" w:eastAsia="Arial" w:hAnsi="Arial"/>
          <w:sz w:val="16"/>
          <w:szCs w:val="16"/>
          <w:color w:val="auto"/>
        </w:rPr>
        <w:t xml:space="preserve">” means a trust account (account number 83667809 at the Account Bank) in the name of the Borrower for the benefit of and under the “control” (within the meaning of Section 9-104 of the UCC or 8-106 of the UCC, as applicable) of the Collateral Agent for the benefit of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rights of the Collateral Agent hereunder with respect to such funds representing the Unfunded Revolving Commitments, the funds deposited therein (including any interest and earnings thereon) from time to time shall constitute the property and assets of the Borrower, and the Borrower shall be solely liable for any Taxes payable with respect to the URCA Account.</w:t>
      </w:r>
    </w:p>
    <w:p>
      <w:pPr>
        <w:spacing w:after="0" w:line="159" w:lineRule="exact"/>
        <w:rPr>
          <w:sz w:val="20"/>
          <w:szCs w:val="20"/>
          <w:color w:val="auto"/>
        </w:rPr>
      </w:pPr>
    </w:p>
    <w:p>
      <w:pPr>
        <w:ind w:right="4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URCA Account Agreement</w:t>
      </w:r>
      <w:r>
        <w:rPr>
          <w:rFonts w:ascii="Arial" w:cs="Arial" w:eastAsia="Arial" w:hAnsi="Arial"/>
          <w:sz w:val="18"/>
          <w:szCs w:val="18"/>
          <w:color w:val="auto"/>
        </w:rPr>
        <w:t>” means that certain URCA deposit account control agreement, dated the Closing Date, among the Borrower, the Servicer, the Account Bank, the Administrative Agent and the Collateral Agent, governing the Unfunded Revolving Commitment Amounts and which permits the Collateral Agent on behalf of the Secured Parties to direct disposition of the funds in the URCA Account, as such agreement may be amended, modified or supplemented from time to time in accordance with its terms.</w:t>
      </w:r>
    </w:p>
    <w:p>
      <w:pPr>
        <w:spacing w:after="0" w:line="185" w:lineRule="exact"/>
        <w:rPr>
          <w:sz w:val="20"/>
          <w:szCs w:val="20"/>
          <w:color w:val="auto"/>
        </w:rPr>
      </w:pPr>
    </w:p>
    <w:p>
      <w:pPr>
        <w:ind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URCA Disbursement Request</w:t>
      </w:r>
      <w:r>
        <w:rPr>
          <w:rFonts w:ascii="Arial" w:cs="Arial" w:eastAsia="Arial" w:hAnsi="Arial"/>
          <w:sz w:val="16"/>
          <w:szCs w:val="16"/>
          <w:color w:val="auto"/>
        </w:rPr>
        <w:t xml:space="preserve">” means a disbursement request from the Borrower to the Administrative Agent and the Collateral Agent in the form attached hereto as </w:t>
      </w:r>
      <w:r>
        <w:rPr>
          <w:rFonts w:ascii="Arial" w:cs="Arial" w:eastAsia="Arial" w:hAnsi="Arial"/>
          <w:sz w:val="16"/>
          <w:szCs w:val="16"/>
          <w:u w:val="single" w:color="auto"/>
          <w:color w:val="auto"/>
        </w:rPr>
        <w:t>Exhibit D-2</w:t>
      </w:r>
      <w:r>
        <w:rPr>
          <w:rFonts w:ascii="Arial" w:cs="Arial" w:eastAsia="Arial" w:hAnsi="Arial"/>
          <w:sz w:val="16"/>
          <w:szCs w:val="16"/>
          <w:color w:val="auto"/>
        </w:rPr>
        <w:t xml:space="preserve"> in connection with a disbursement request from the URCA Account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00"/>
          </w:cols>
          <w:pgMar w:left="460" w:top="273" w:right="539" w:bottom="1440" w:gutter="0" w:footer="0" w:header="0"/>
        </w:sectPr>
      </w:pPr>
    </w:p>
    <w:bookmarkStart w:id="124" w:name="page125"/>
    <w:bookmarkEnd w:id="124"/>
    <w:p>
      <w:pPr>
        <w:ind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URCA Excess Amounts</w:t>
      </w:r>
      <w:r>
        <w:rPr>
          <w:rFonts w:ascii="Arial" w:cs="Arial" w:eastAsia="Arial" w:hAnsi="Arial"/>
          <w:sz w:val="18"/>
          <w:szCs w:val="18"/>
          <w:color w:val="auto"/>
        </w:rPr>
        <w:t>” means, as of any Determination Date, the positive difference, if any between (i) the amounts held in the URCA Account as of such date, and (ii) the URCA Funding Requirement.</w:t>
      </w:r>
    </w:p>
    <w:p>
      <w:pPr>
        <w:spacing w:after="0" w:line="171" w:lineRule="exact"/>
        <w:rPr>
          <w:sz w:val="20"/>
          <w:szCs w:val="20"/>
          <w:color w:val="auto"/>
        </w:rPr>
      </w:pPr>
    </w:p>
    <w:p>
      <w:pPr>
        <w:ind w:right="44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URCA Funding Requirement</w:t>
      </w:r>
      <w:r>
        <w:rPr>
          <w:rFonts w:ascii="Arial" w:cs="Arial" w:eastAsia="Arial" w:hAnsi="Arial"/>
          <w:sz w:val="18"/>
          <w:szCs w:val="18"/>
          <w:color w:val="auto"/>
        </w:rPr>
        <w:t>” means, with respect to Revolving Loan Assets, an amount equal to 35% of the Unfunded Revolving Commitments of all Eligible Loan Assets.</w:t>
      </w:r>
    </w:p>
    <w:p>
      <w:pPr>
        <w:spacing w:after="0" w:line="171" w:lineRule="exact"/>
        <w:rPr>
          <w:sz w:val="20"/>
          <w:szCs w:val="20"/>
          <w:color w:val="auto"/>
        </w:rPr>
      </w:pPr>
    </w:p>
    <w:p>
      <w:pPr>
        <w:ind w:right="7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URCA Shortfall Amount</w:t>
      </w:r>
      <w:r>
        <w:rPr>
          <w:rFonts w:ascii="Arial" w:cs="Arial" w:eastAsia="Arial" w:hAnsi="Arial"/>
          <w:sz w:val="18"/>
          <w:szCs w:val="18"/>
          <w:color w:val="auto"/>
        </w:rPr>
        <w:t>” means, as of any Determination Date, the positive difference, if any, between (i) the URCA Funding Requirement and (ii) the amounts held in the URCA Account as of such date.</w:t>
      </w:r>
    </w:p>
    <w:p>
      <w:pPr>
        <w:spacing w:after="0" w:line="171" w:lineRule="exact"/>
        <w:rPr>
          <w:sz w:val="20"/>
          <w:szCs w:val="20"/>
          <w:color w:val="auto"/>
        </w:rPr>
      </w:pPr>
    </w:p>
    <w:p>
      <w:pPr>
        <w:ind w:right="200" w:firstLine="987"/>
        <w:spacing w:after="0" w:line="30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8"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 Adjusted Assigned Value</w:t>
      </w:r>
      <w:r>
        <w:rPr>
          <w:rFonts w:ascii="Arial" w:cs="Arial" w:eastAsia="Arial" w:hAnsi="Arial"/>
          <w:sz w:val="18"/>
          <w:szCs w:val="18"/>
          <w:color w:val="auto"/>
        </w:rPr>
        <w:t>” means, with respect to each Loan Asset as of any date following the occurrence of a Value Adjustment Event, the value (expressed as a percentage of the Outstanding Principal Balance) of such Loan Asset established by the Administrative Agent from time to time in its sole and absolute discretion (and the Administrative Agent shall promptly notify the Servicer of any change to Value Adjusted Assigned Value it may establish from time to time),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115" w:lineRule="exact"/>
        <w:rPr>
          <w:sz w:val="20"/>
          <w:szCs w:val="20"/>
          <w:color w:val="auto"/>
        </w:rPr>
      </w:pPr>
    </w:p>
    <w:p>
      <w:pPr>
        <w:ind w:left="1420" w:right="160" w:firstLine="389"/>
        <w:spacing w:after="0" w:line="275" w:lineRule="auto"/>
        <w:tabs>
          <w:tab w:leader="none" w:pos="20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Value Adjusted Assigned Value of any Loan Asset subject to a Material Modification under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such defined term shall in all events equal zero;</w:t>
      </w:r>
    </w:p>
    <w:p>
      <w:pPr>
        <w:spacing w:after="0" w:line="63" w:lineRule="exact"/>
        <w:rPr>
          <w:rFonts w:ascii="Arial" w:cs="Arial" w:eastAsia="Arial" w:hAnsi="Arial"/>
          <w:sz w:val="18"/>
          <w:szCs w:val="18"/>
          <w:color w:val="auto"/>
        </w:rPr>
      </w:pPr>
    </w:p>
    <w:p>
      <w:pPr>
        <w:jc w:val="both"/>
        <w:ind w:left="1420" w:right="160" w:firstLine="389"/>
        <w:spacing w:after="0" w:line="258" w:lineRule="auto"/>
        <w:tabs>
          <w:tab w:leader="none" w:pos="20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Value Adjusted Assigned Value of any Loan Asset subject to an Internal Rating Adjustment Event shall equal the Quoted Price issued after the occurrence of the related Value Adjustment Event (such valuation costs being at the Borrower’s expense);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such Quoted Price becomes available, the Value Adjusted Assigned Value under this </w:t>
      </w:r>
      <w:r>
        <w:rPr>
          <w:rFonts w:ascii="Arial" w:cs="Arial" w:eastAsia="Arial" w:hAnsi="Arial"/>
          <w:sz w:val="18"/>
          <w:szCs w:val="18"/>
          <w:u w:val="single" w:color="auto"/>
          <w:color w:val="auto"/>
        </w:rPr>
        <w:t>clause (2)</w:t>
      </w:r>
      <w:r>
        <w:rPr>
          <w:rFonts w:ascii="Arial" w:cs="Arial" w:eastAsia="Arial" w:hAnsi="Arial"/>
          <w:sz w:val="18"/>
          <w:szCs w:val="18"/>
          <w:color w:val="auto"/>
        </w:rPr>
        <w:t xml:space="preserve"> shall equal the Updated Assigned Value;</w:t>
      </w:r>
    </w:p>
    <w:p>
      <w:pPr>
        <w:spacing w:after="0" w:line="77" w:lineRule="exact"/>
        <w:rPr>
          <w:rFonts w:ascii="Arial" w:cs="Arial" w:eastAsia="Arial" w:hAnsi="Arial"/>
          <w:sz w:val="18"/>
          <w:szCs w:val="18"/>
          <w:color w:val="auto"/>
        </w:rPr>
      </w:pPr>
    </w:p>
    <w:p>
      <w:pPr>
        <w:ind w:left="1420" w:right="140" w:firstLine="389"/>
        <w:spacing w:after="0" w:line="305" w:lineRule="auto"/>
        <w:tabs>
          <w:tab w:leader="none" w:pos="20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except with respect to a Loan Asset described in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above, the Value Adjusted Assigned Value shall not equal less than any Quoted Price (if then available) issued after the occurrence of the related Value Adjustment Event; and</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460" w:top="273" w:right="539" w:bottom="1440" w:gutter="0" w:footer="0" w:header="0"/>
        </w:sectPr>
      </w:pPr>
    </w:p>
    <w:bookmarkStart w:id="125" w:name="page126"/>
    <w:bookmarkEnd w:id="125"/>
    <w:p>
      <w:pPr>
        <w:ind w:left="1420" w:firstLine="389"/>
        <w:spacing w:after="0" w:line="253" w:lineRule="auto"/>
        <w:tabs>
          <w:tab w:leader="none" w:pos="2055"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except with respect to a Loan Asset described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in the event the Borrower disagrees with the Administrative Agent’s determination of the Value Adjusted Assigned Value and no Quoted Price is otherwise available, the Borrower may (at its expense) retain any Nationally Recognized Valuation Firm to value such Loan Asset, and if the value determined by such Nationally Recognized Valuation Firm is greater than the Administrative Agent’s determination of the Value Adjusted Assigned Value, such Nationally Recognized Valuation Firm’s valuation shall become the Value Adjusted Assigned Value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the completion of such valuation process, the Value Adjusted Assigned Value of such Loan Asset shall be the value assigned by the Administrative Agent.</w:t>
      </w:r>
    </w:p>
    <w:p>
      <w:pPr>
        <w:spacing w:after="0" w:line="193" w:lineRule="exact"/>
        <w:rPr>
          <w:sz w:val="20"/>
          <w:szCs w:val="20"/>
          <w:color w:val="auto"/>
        </w:rPr>
      </w:pPr>
    </w:p>
    <w:p>
      <w:pPr>
        <w:ind w:right="18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Value Adjustment Event</w:t>
      </w:r>
      <w:r>
        <w:rPr>
          <w:rFonts w:ascii="Arial" w:cs="Arial" w:eastAsia="Arial" w:hAnsi="Arial"/>
          <w:sz w:val="18"/>
          <w:szCs w:val="18"/>
          <w:color w:val="auto"/>
        </w:rPr>
        <w:t>” means, with respect to any Loan Asset, any occurrence of one or more of the following events (any of which, for the avoidance of doubt, may occur more than once):</w:t>
      </w:r>
    </w:p>
    <w:p>
      <w:pPr>
        <w:spacing w:after="0" w:line="63" w:lineRule="exact"/>
        <w:rPr>
          <w:sz w:val="20"/>
          <w:szCs w:val="20"/>
          <w:color w:val="auto"/>
        </w:rPr>
      </w:pPr>
    </w:p>
    <w:p>
      <w:pPr>
        <w:ind w:left="1420" w:right="500" w:firstLine="389"/>
        <w:spacing w:after="0" w:line="275" w:lineRule="auto"/>
        <w:tabs>
          <w:tab w:leader="none" w:pos="20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Obligor payment default under any Loan Asset (after giving effect to any grace or cure period set forth in the Loan Agreement);</w:t>
      </w:r>
    </w:p>
    <w:p>
      <w:pPr>
        <w:spacing w:after="0" w:line="63" w:lineRule="exact"/>
        <w:rPr>
          <w:rFonts w:ascii="Arial" w:cs="Arial" w:eastAsia="Arial" w:hAnsi="Arial"/>
          <w:sz w:val="18"/>
          <w:szCs w:val="18"/>
          <w:color w:val="auto"/>
        </w:rPr>
      </w:pPr>
    </w:p>
    <w:p>
      <w:pPr>
        <w:ind w:left="1420" w:right="120" w:firstLine="389"/>
        <w:spacing w:after="0" w:line="262" w:lineRule="auto"/>
        <w:tabs>
          <w:tab w:leader="none" w:pos="20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Obligor default under any Loan Asset for which the Borrower (or agent or required lenders pursuant to the Loan Agreement, as applicable) has elected to exercise any of its rights and remedies under or with respect to the Loan Asset (including the acceleration of the loan relating thereto);</w:t>
      </w:r>
    </w:p>
    <w:p>
      <w:pPr>
        <w:spacing w:after="0" w:line="74" w:lineRule="exact"/>
        <w:rPr>
          <w:rFonts w:ascii="Arial" w:cs="Arial" w:eastAsia="Arial" w:hAnsi="Arial"/>
          <w:sz w:val="18"/>
          <w:szCs w:val="18"/>
          <w:color w:val="auto"/>
        </w:rPr>
      </w:pPr>
    </w:p>
    <w:p>
      <w:pPr>
        <w:ind w:left="2120" w:hanging="311"/>
        <w:spacing w:after="0"/>
        <w:tabs>
          <w:tab w:leader="none" w:pos="2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Bankruptcy Event with respect to the related Obligor;</w:t>
      </w:r>
    </w:p>
    <w:p>
      <w:pPr>
        <w:spacing w:after="0" w:line="115" w:lineRule="exact"/>
        <w:rPr>
          <w:rFonts w:ascii="Arial" w:cs="Arial" w:eastAsia="Arial" w:hAnsi="Arial"/>
          <w:sz w:val="18"/>
          <w:szCs w:val="18"/>
          <w:color w:val="auto"/>
        </w:rPr>
      </w:pPr>
    </w:p>
    <w:p>
      <w:pPr>
        <w:ind w:left="2120" w:hanging="311"/>
        <w:spacing w:after="0"/>
        <w:tabs>
          <w:tab w:leader="none" w:pos="2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occurrence of a Material Modification with respect to such Loan Asset;</w:t>
      </w:r>
    </w:p>
    <w:p>
      <w:pPr>
        <w:spacing w:after="0" w:line="115" w:lineRule="exact"/>
        <w:rPr>
          <w:rFonts w:ascii="Arial" w:cs="Arial" w:eastAsia="Arial" w:hAnsi="Arial"/>
          <w:sz w:val="18"/>
          <w:szCs w:val="18"/>
          <w:color w:val="auto"/>
        </w:rPr>
      </w:pPr>
    </w:p>
    <w:p>
      <w:pPr>
        <w:ind w:left="2060" w:hanging="251"/>
        <w:spacing w:after="0"/>
        <w:tabs>
          <w:tab w:leader="none" w:pos="2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occurrence of an Internal Rating Adjustment Event;</w:t>
      </w:r>
    </w:p>
    <w:p>
      <w:pPr>
        <w:spacing w:after="0" w:line="115" w:lineRule="exact"/>
        <w:rPr>
          <w:rFonts w:ascii="Arial" w:cs="Arial" w:eastAsia="Arial" w:hAnsi="Arial"/>
          <w:sz w:val="18"/>
          <w:szCs w:val="18"/>
          <w:color w:val="auto"/>
        </w:rPr>
      </w:pPr>
    </w:p>
    <w:p>
      <w:pPr>
        <w:ind w:left="1420" w:firstLine="389"/>
        <w:spacing w:after="0" w:line="275" w:lineRule="auto"/>
        <w:tabs>
          <w:tab w:leader="none" w:pos="21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Administrative Agent has failed to receive ongoing loan level information as required hereunder (and such failure is not cured within 45 days;</w:t>
      </w:r>
    </w:p>
    <w:p>
      <w:pPr>
        <w:spacing w:after="0" w:line="63" w:lineRule="exact"/>
        <w:rPr>
          <w:rFonts w:ascii="Arial" w:cs="Arial" w:eastAsia="Arial" w:hAnsi="Arial"/>
          <w:sz w:val="18"/>
          <w:szCs w:val="18"/>
          <w:color w:val="auto"/>
        </w:rPr>
      </w:pPr>
    </w:p>
    <w:p>
      <w:pPr>
        <w:ind w:left="1420" w:right="60" w:firstLine="389"/>
        <w:spacing w:after="0" w:line="290" w:lineRule="auto"/>
        <w:tabs>
          <w:tab w:leader="none" w:pos="2155" w:val="left"/>
        </w:tabs>
        <w:numPr>
          <w:ilvl w:val="0"/>
          <w:numId w:val="74"/>
        </w:numPr>
        <w:rPr>
          <w:rFonts w:ascii="Arial" w:cs="Arial" w:eastAsia="Arial" w:hAnsi="Arial"/>
          <w:sz w:val="16"/>
          <w:szCs w:val="16"/>
          <w:color w:val="auto"/>
        </w:rPr>
      </w:pPr>
      <w:r>
        <w:rPr>
          <w:rFonts w:ascii="Arial" w:cs="Arial" w:eastAsia="Arial" w:hAnsi="Arial"/>
          <w:sz w:val="16"/>
          <w:szCs w:val="16"/>
          <w:color w:val="auto"/>
        </w:rPr>
        <w:t>with respect to any Asset Based Loan, (A) the Borrower fails (or fails to cause the Obligor to) retain a Nationally Recognized Valuation Firm to re-calculate the Appraised Value of with respect to any such Loan Asset that has intellectual property, equipment or real property, as the case may be, in its borrowing base, the collateral securing such Loan Asset at least once every 12 months that such Loan Asset is included in the Collateral Portfolio (subject to a 45-day grace period with respect to any such review), or (B) the Borrower (or the related Obligor, as applicable) changes the Nationally Recognized Valuation Firm with respect to any Loan Asset or the related Nationally Recognized Valuation Firm changes the metric for valuing the collateral of such Loan Asset, each without the written approval of the Administrative Agent (not to be unreasonably withheld); or</w:t>
      </w:r>
    </w:p>
    <w:p>
      <w:pPr>
        <w:spacing w:after="0" w:line="56" w:lineRule="exact"/>
        <w:rPr>
          <w:rFonts w:ascii="Arial" w:cs="Arial" w:eastAsia="Arial" w:hAnsi="Arial"/>
          <w:sz w:val="16"/>
          <w:szCs w:val="16"/>
          <w:color w:val="auto"/>
        </w:rPr>
      </w:pPr>
    </w:p>
    <w:p>
      <w:pPr>
        <w:ind w:left="1420" w:right="160" w:firstLine="389"/>
        <w:spacing w:after="0" w:line="277" w:lineRule="auto"/>
        <w:tabs>
          <w:tab w:leader="none" w:pos="2204" w:val="left"/>
        </w:tabs>
        <w:numPr>
          <w:ilvl w:val="0"/>
          <w:numId w:val="74"/>
        </w:numPr>
        <w:rPr>
          <w:rFonts w:ascii="Arial" w:cs="Arial" w:eastAsia="Arial" w:hAnsi="Arial"/>
          <w:sz w:val="17"/>
          <w:szCs w:val="17"/>
          <w:color w:val="auto"/>
        </w:rPr>
      </w:pPr>
      <w:r>
        <w:rPr>
          <w:rFonts w:ascii="Arial" w:cs="Arial" w:eastAsia="Arial" w:hAnsi="Arial"/>
          <w:sz w:val="17"/>
          <w:szCs w:val="17"/>
          <w:color w:val="auto"/>
        </w:rPr>
        <w:t>with respect to any Asset Based Loan, the related Obligor exceeds the maximum allowed borrowing base (or similar concept relating to allowable advances as defined in the related Loan Agreement or related Underlying Collateral, in any case, measured as of the date such Loan Asset was approved by the Administrative Agent for inclusion in the Collateral Portfolio) under such Loan Asset by more than 5% and such breach is not cured within five (5) Business Days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60" w:top="273" w:right="479" w:bottom="1440" w:gutter="0" w:footer="0" w:header="0"/>
        </w:sectPr>
      </w:pPr>
    </w:p>
    <w:bookmarkStart w:id="126" w:name="page127"/>
    <w:bookmarkEnd w:id="12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8"/>
          <w:szCs w:val="18"/>
          <w:u w:val="single" w:color="auto"/>
          <w:color w:val="auto"/>
        </w:rPr>
        <w:t>Volcker Event</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Volcker Extension Deadline</w:t>
      </w:r>
      <w:r>
        <w:rPr>
          <w:rFonts w:ascii="Arial" w:cs="Arial" w:eastAsia="Arial" w:hAnsi="Arial"/>
          <w:sz w:val="18"/>
          <w:szCs w:val="18"/>
          <w:color w:val="auto"/>
        </w:rPr>
        <w:t xml:space="preserve">” has the meaning assigned to that term in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3" w:lineRule="exact"/>
        <w:rPr>
          <w:sz w:val="20"/>
          <w:szCs w:val="20"/>
          <w:color w:val="auto"/>
        </w:rPr>
      </w:pPr>
    </w:p>
    <w:p>
      <w:pPr>
        <w:ind w:right="6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Volcker Rule</w:t>
      </w:r>
      <w:r>
        <w:rPr>
          <w:rFonts w:ascii="Arial" w:cs="Arial" w:eastAsia="Arial" w:hAnsi="Arial"/>
          <w:sz w:val="18"/>
          <w:szCs w:val="18"/>
          <w:color w:val="auto"/>
        </w:rPr>
        <w:t>” means Section 419 of Dodd-Frank, together with the interpretations, regulations, rules and pronouncements of any Governmental Authority with respect thereto.</w:t>
      </w:r>
    </w:p>
    <w:p>
      <w:pPr>
        <w:spacing w:after="0" w:line="171" w:lineRule="exact"/>
        <w:rPr>
          <w:sz w:val="20"/>
          <w:szCs w:val="20"/>
          <w:color w:val="auto"/>
        </w:rPr>
      </w:pPr>
    </w:p>
    <w:p>
      <w:pPr>
        <w:ind w:right="120" w:firstLine="987"/>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Warranty Event</w:t>
      </w:r>
      <w:r>
        <w:rPr>
          <w:rFonts w:ascii="Arial" w:cs="Arial" w:eastAsia="Arial" w:hAnsi="Arial"/>
          <w:sz w:val="17"/>
          <w:szCs w:val="17"/>
          <w:color w:val="auto"/>
        </w:rPr>
        <w:t>” means, as to any Loan Asset, the discovery (i) that as of the related Cut-Off Date for such Loan Asset there existed a breach of any representation or warranty relating to such Loan Asset (other than any representation or warranty that the Loan Asset satisfies the criteria of the definition of Eligible Loan Asset), or (ii) following the Cut-Off Date for such Loan Asset, of a Dispute.</w:t>
      </w:r>
    </w:p>
    <w:p>
      <w:pPr>
        <w:spacing w:after="0" w:line="166" w:lineRule="exact"/>
        <w:rPr>
          <w:sz w:val="20"/>
          <w:szCs w:val="20"/>
          <w:color w:val="auto"/>
        </w:rPr>
      </w:pPr>
    </w:p>
    <w:p>
      <w:pPr>
        <w:jc w:val="both"/>
        <w:ind w:right="80" w:firstLine="987"/>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Warranty Loan Asset</w:t>
      </w:r>
      <w:r>
        <w:rPr>
          <w:rFonts w:ascii="Arial" w:cs="Arial" w:eastAsia="Arial" w:hAnsi="Arial"/>
          <w:sz w:val="18"/>
          <w:szCs w:val="18"/>
          <w:color w:val="auto"/>
        </w:rPr>
        <w:t>” means (i) any Loan Asset that fails to satisfy any criteria of the definition of Eligible Loan Asset as of the Cut-Off Date for such Loan Asset or a Loan Asset with respect to which a Warranty Event has occurred, or (ii) any Loan Asset, or if not affecting the full Loan Asset, the portion thereof, subject to a Dispute following the Cut-Off Date.</w:t>
      </w:r>
    </w:p>
    <w:p>
      <w:pPr>
        <w:spacing w:after="0" w:line="182" w:lineRule="exact"/>
        <w:rPr>
          <w:sz w:val="20"/>
          <w:szCs w:val="20"/>
          <w:color w:val="auto"/>
        </w:rPr>
      </w:pPr>
    </w:p>
    <w:p>
      <w:pPr>
        <w:ind w:right="220" w:firstLine="98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w:t>
      </w:r>
      <w:r>
        <w:rPr>
          <w:rFonts w:ascii="Arial" w:cs="Arial" w:eastAsia="Arial" w:hAnsi="Arial"/>
          <w:sz w:val="18"/>
          <w:szCs w:val="18"/>
          <w:color w:val="auto"/>
        </w:rPr>
        <w:t>” means, as of any date of determination with respect to all Eligible Loan Assets, the number of years following such date obtained by summing the products obtained for each of the Eligible Loan Assets, by multiplying: (a) the Average Life of each such Eligible Loan Asset as at such date of determination, by the Outstanding Principal Balance of such Eligible Loan Asset, and dividing such sum by: (b) the aggregate Outstanding Principal Balance of all Eligible Loan Assets.</w:t>
      </w:r>
    </w:p>
    <w:p>
      <w:pPr>
        <w:spacing w:after="0" w:line="185" w:lineRule="exact"/>
        <w:rPr>
          <w:sz w:val="20"/>
          <w:szCs w:val="20"/>
          <w:color w:val="auto"/>
        </w:rPr>
      </w:pPr>
    </w:p>
    <w:p>
      <w:pPr>
        <w:ind w:right="120"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Life Test</w:t>
      </w:r>
      <w:r>
        <w:rPr>
          <w:rFonts w:ascii="Arial" w:cs="Arial" w:eastAsia="Arial" w:hAnsi="Arial"/>
          <w:sz w:val="18"/>
          <w:szCs w:val="18"/>
          <w:color w:val="auto"/>
        </w:rPr>
        <w:t>” means, as of any date of determination, that the Weighted Average Life of all Eligible Loan Assets is equal to or less than 6.0 years.</w:t>
      </w:r>
    </w:p>
    <w:p>
      <w:pPr>
        <w:spacing w:after="0" w:line="171" w:lineRule="exact"/>
        <w:rPr>
          <w:sz w:val="20"/>
          <w:szCs w:val="20"/>
          <w:color w:val="auto"/>
        </w:rPr>
      </w:pPr>
    </w:p>
    <w:p>
      <w:pPr>
        <w:ind w:right="320" w:firstLine="987"/>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Recovery Ratio</w:t>
      </w:r>
      <w:r>
        <w:rPr>
          <w:rFonts w:ascii="Arial" w:cs="Arial" w:eastAsia="Arial" w:hAnsi="Arial"/>
          <w:sz w:val="16"/>
          <w:szCs w:val="16"/>
          <w:color w:val="auto"/>
        </w:rPr>
        <w:t>” or “</w:t>
      </w:r>
      <w:r>
        <w:rPr>
          <w:rFonts w:ascii="Arial" w:cs="Arial" w:eastAsia="Arial" w:hAnsi="Arial"/>
          <w:sz w:val="16"/>
          <w:szCs w:val="16"/>
          <w:u w:val="single" w:color="auto"/>
          <w:color w:val="auto"/>
        </w:rPr>
        <w:t>WARR</w:t>
      </w:r>
      <w:r>
        <w:rPr>
          <w:rFonts w:ascii="Arial" w:cs="Arial" w:eastAsia="Arial" w:hAnsi="Arial"/>
          <w:sz w:val="16"/>
          <w:szCs w:val="16"/>
          <w:color w:val="auto"/>
        </w:rPr>
        <w:t>” means as of any date of determination, the percentage equivalent of a fraction (i) the numerator of which is equal to the sum of the Specified Recoveries of all Loan Assets that became Charged-Off Assets during the immediately prior</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3-Month period, and (ii) the denominator of which is equal the sum of the Aggregate Outstanding Principal Balance of all Charged-Off Assets as of the first day of each month of such 3-Month period being tested, all as set forth in the latest Servicing Report.</w:t>
      </w:r>
    </w:p>
    <w:p>
      <w:pPr>
        <w:spacing w:after="0" w:line="185" w:lineRule="exact"/>
        <w:rPr>
          <w:sz w:val="20"/>
          <w:szCs w:val="20"/>
          <w:color w:val="auto"/>
        </w:rPr>
      </w:pPr>
    </w:p>
    <w:p>
      <w:pPr>
        <w:ind w:right="260" w:firstLine="98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Spread</w:t>
      </w:r>
      <w:r>
        <w:rPr>
          <w:rFonts w:ascii="Arial" w:cs="Arial" w:eastAsia="Arial" w:hAnsi="Arial"/>
          <w:sz w:val="18"/>
          <w:szCs w:val="18"/>
          <w:color w:val="auto"/>
        </w:rPr>
        <w:t>” means, as of any date of determination with respect to all Eligible Loan Assets, the Spread obtained by summing the products obtained for each of the Eligible Loan Assets that are Floating Rate Loan Assets, by multiplying: (a) the Spread of each such Eligible Loan Asset, by the maximum committed funding amount (including any Retained Interest thereunder), and dividing such sum by: (b) the aggregate maximum committed funding amounts (including all Retained Interests thereunder) of all Eligible Loan Assets that are Floating Rate Loan Assets.</w:t>
      </w:r>
    </w:p>
    <w:p>
      <w:pPr>
        <w:spacing w:after="0" w:line="190" w:lineRule="exact"/>
        <w:rPr>
          <w:sz w:val="20"/>
          <w:szCs w:val="20"/>
          <w:color w:val="auto"/>
        </w:rPr>
      </w:pPr>
    </w:p>
    <w:p>
      <w:pPr>
        <w:ind w:firstLine="98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Spread Test</w:t>
      </w:r>
      <w:r>
        <w:rPr>
          <w:rFonts w:ascii="Arial" w:cs="Arial" w:eastAsia="Arial" w:hAnsi="Arial"/>
          <w:sz w:val="18"/>
          <w:szCs w:val="18"/>
          <w:color w:val="auto"/>
        </w:rPr>
        <w:t>” means, as of any date of determination, that the Weighted Average Spread of all Eligible Loan Assets that are Floating Rate Loan Assets is equal to or greater than 3.5%.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460" w:top="273" w:right="479" w:bottom="1440" w:gutter="0" w:footer="0" w:header="0"/>
        </w:sectPr>
      </w:pPr>
    </w:p>
    <w:bookmarkStart w:id="127" w:name="page128"/>
    <w:bookmarkEnd w:id="127"/>
    <w:p>
      <w:pPr>
        <w:ind w:firstLine="987"/>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Yield</w:t>
      </w:r>
      <w:r>
        <w:rPr>
          <w:rFonts w:ascii="Arial" w:cs="Arial" w:eastAsia="Arial" w:hAnsi="Arial"/>
          <w:sz w:val="17"/>
          <w:szCs w:val="17"/>
          <w:color w:val="auto"/>
        </w:rPr>
        <w:t>” means with respect to any Remittance Period (or portion thereof), the sum for all Advances Outstanding for each day in such</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Remittance Period (or portion thereof) determined in accordance with the following formula for each such Advance: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YR x 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 YR  =  the Yield Rate applicable on such day to such Advance;</w:t>
      </w:r>
    </w:p>
    <w:p>
      <w:pPr>
        <w:spacing w:after="0" w:line="115" w:lineRule="exact"/>
        <w:rPr>
          <w:sz w:val="20"/>
          <w:szCs w:val="20"/>
          <w:color w:val="auto"/>
        </w:rPr>
      </w:pPr>
    </w:p>
    <w:p>
      <w:pPr>
        <w:ind w:left="1880" w:hanging="310"/>
        <w:spacing w:after="0"/>
        <w:tabs>
          <w:tab w:leader="none" w:pos="1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the principal amount of such Advance on such day; and</w:t>
      </w:r>
    </w:p>
    <w:p>
      <w:pPr>
        <w:spacing w:after="0" w:line="115" w:lineRule="exact"/>
        <w:rPr>
          <w:sz w:val="20"/>
          <w:szCs w:val="20"/>
          <w:color w:val="auto"/>
        </w:rPr>
      </w:pPr>
    </w:p>
    <w:p>
      <w:pPr>
        <w:ind w:left="1880" w:hanging="337"/>
        <w:spacing w:after="0"/>
        <w:tabs>
          <w:tab w:leader="none" w:pos="1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360 or, to the extent the Yield Rate is the Base Rate, 365 or 366 days, as applicable;</w:t>
      </w:r>
    </w:p>
    <w:p>
      <w:pPr>
        <w:spacing w:after="0" w:line="2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provision of this Agreement shall require the payment or permit the collection of Yield in excess of the maximum permitted by Applicable Law and (ii) Yield shall not be considered paid by any distribution if at any time such distribution is later required to be rescinded by any Lender to the Borrower or any other Person for any reason including, without limitation, such distribution becoming void or otherwise avoidable under any statutory provision or common law or equitable action, including, without limitation, any provision of the Bankruptcy Code.</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Yield Rate</w:t>
      </w:r>
      <w:r>
        <w:rPr>
          <w:rFonts w:ascii="Arial" w:cs="Arial" w:eastAsia="Arial" w:hAnsi="Arial"/>
          <w:sz w:val="18"/>
          <w:szCs w:val="18"/>
          <w:color w:val="auto"/>
        </w:rPr>
        <w:t>” means, as of any date of determination, an interest rate per annum equal to</w:t>
      </w:r>
    </w:p>
    <w:p>
      <w:pPr>
        <w:spacing w:after="0" w:line="115" w:lineRule="exact"/>
        <w:rPr>
          <w:sz w:val="20"/>
          <w:szCs w:val="20"/>
          <w:color w:val="auto"/>
        </w:rPr>
      </w:pPr>
    </w:p>
    <w:p>
      <w:pPr>
        <w:ind w:left="1160" w:hanging="299"/>
        <w:spacing w:after="0"/>
        <w:tabs>
          <w:tab w:leader="none" w:pos="11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 respect to any Advance other than a Foreign Currency Advance:</w:t>
      </w:r>
    </w:p>
    <w:p>
      <w:pPr>
        <w:spacing w:after="0" w:line="115" w:lineRule="exact"/>
        <w:rPr>
          <w:rFonts w:ascii="Arial" w:cs="Arial" w:eastAsia="Arial" w:hAnsi="Arial"/>
          <w:sz w:val="18"/>
          <w:szCs w:val="18"/>
          <w:color w:val="auto"/>
        </w:rPr>
      </w:pPr>
    </w:p>
    <w:p>
      <w:pPr>
        <w:ind w:left="980" w:right="360" w:firstLine="408"/>
        <w:spacing w:after="0" w:line="262" w:lineRule="auto"/>
        <w:tabs>
          <w:tab w:leader="none" w:pos="1593"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the extent the Lender is a Conduit Lender that is funding the applicable Advance or portion thereof through the issuance of Commercial Paper Notes, a rate equal to the CP Cost of Funds Rate for such Remittance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Spread on such portion; or</w:t>
      </w:r>
    </w:p>
    <w:p>
      <w:pPr>
        <w:spacing w:after="0" w:line="74" w:lineRule="exact"/>
        <w:rPr>
          <w:rFonts w:ascii="Arial" w:cs="Arial" w:eastAsia="Arial" w:hAnsi="Arial"/>
          <w:sz w:val="18"/>
          <w:szCs w:val="18"/>
          <w:color w:val="auto"/>
        </w:rPr>
      </w:pPr>
    </w:p>
    <w:p>
      <w:pPr>
        <w:ind w:left="980" w:right="260" w:firstLine="408"/>
        <w:spacing w:after="0" w:line="275" w:lineRule="auto"/>
        <w:tabs>
          <w:tab w:leader="none" w:pos="1642"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the extent the relevant Lender is not funding the applicable Advance or portion thereof through the issuance of Commercial Paper Notes, a rate equal to LIBOR for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Spread on such portion;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40"/>
          </w:cols>
          <w:pgMar w:left="460" w:top="273" w:right="499" w:bottom="1440" w:gutter="0" w:footer="0" w:header="0"/>
        </w:sectPr>
      </w:pPr>
    </w:p>
    <w:bookmarkStart w:id="128" w:name="page129"/>
    <w:bookmarkEnd w:id="12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(B) with respect to any Foreign Currency Advance, a rate equal to LIBOR for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Spread on such portion;</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Yield Rate shall be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Spread for any Remittance Period for any Advance as to which a Conduit Lender has funded the making or maintenance thereof by a sale of an interest therein to any Liquidity Bank under the applicable Liquidity Agreement on any day other than the first day of such Remittance Period and without giving such Liquidity Bank at least two Business Days’ prior notice of such assignment, and (y) if any Lender Agent shall have notified the Administrative Agent that a Eurodollar Disruption Event has occurred and is continuing, the Administrative Agent shall in turn so notify the Borrower, whereupon the Yield Rate shall be equal to the Base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Spread until such Lender Agent shall have notified the Administrative Agent that such Eurodollar Disruption Event has ceased, at which time the Yield Rate shall again be equal to Daily LIBOR for such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Applicable Spread.</w:t>
      </w:r>
    </w:p>
    <w:p>
      <w:pPr>
        <w:spacing w:after="0" w:line="181" w:lineRule="exact"/>
        <w:rPr>
          <w:sz w:val="20"/>
          <w:szCs w:val="20"/>
          <w:color w:val="auto"/>
        </w:rPr>
      </w:pPr>
    </w:p>
    <w:p>
      <w:pPr>
        <w:ind w:right="360" w:firstLine="987"/>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Yield Shortfall Amount</w:t>
      </w:r>
      <w:r>
        <w:rPr>
          <w:rFonts w:ascii="Arial" w:cs="Arial" w:eastAsia="Arial" w:hAnsi="Arial"/>
          <w:sz w:val="16"/>
          <w:szCs w:val="16"/>
          <w:color w:val="auto"/>
        </w:rPr>
        <w:t xml:space="preserve">” means, as of any Determination Date, the amount, if any, by which (i) amounts due under </w:t>
      </w:r>
      <w:r>
        <w:rPr>
          <w:rFonts w:ascii="Arial" w:cs="Arial" w:eastAsia="Arial" w:hAnsi="Arial"/>
          <w:sz w:val="16"/>
          <w:szCs w:val="16"/>
          <w:u w:val="single" w:color="auto"/>
          <w:color w:val="auto"/>
        </w:rPr>
        <w:t>Section 2.04(a)(i)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on such Determination Date, exceed (ii) amounts available for distribution on such Determination Date under </w:t>
      </w:r>
      <w:r>
        <w:rPr>
          <w:rFonts w:ascii="Arial" w:cs="Arial" w:eastAsia="Arial" w:hAnsi="Arial"/>
          <w:sz w:val="16"/>
          <w:szCs w:val="16"/>
          <w:u w:val="single" w:color="auto"/>
          <w:color w:val="auto"/>
        </w:rPr>
        <w:t>Section 2.04(a)</w:t>
      </w:r>
      <w:r>
        <w:rPr>
          <w:rFonts w:ascii="Arial" w:cs="Arial" w:eastAsia="Arial" w:hAnsi="Arial"/>
          <w:sz w:val="16"/>
          <w:szCs w:val="16"/>
          <w:color w:val="auto"/>
        </w:rPr>
        <w:t>.</w:t>
      </w:r>
    </w:p>
    <w:p>
      <w:pPr>
        <w:spacing w:after="0" w:line="125" w:lineRule="exact"/>
        <w:rPr>
          <w:sz w:val="20"/>
          <w:szCs w:val="20"/>
          <w:color w:val="auto"/>
        </w:rPr>
      </w:pPr>
    </w:p>
    <w:p>
      <w:pPr>
        <w:ind w:right="120" w:firstLine="987"/>
        <w:spacing w:after="0" w:line="33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Other Terms</w:t>
      </w:r>
      <w:r>
        <w:rPr>
          <w:rFonts w:ascii="Arial" w:cs="Arial" w:eastAsia="Arial" w:hAnsi="Arial"/>
          <w:sz w:val="16"/>
          <w:szCs w:val="16"/>
          <w:color w:val="auto"/>
        </w:rPr>
        <w:t>. All accounting terms used but not specifically defined herein shall be construed in accordance with GAAP. All terms used in Article 9 of the UCC in the State of New York, and used but not specifically defined herein, are used herein as defined in such Article 9.</w:t>
      </w:r>
    </w:p>
    <w:p>
      <w:pPr>
        <w:spacing w:after="0" w:line="125" w:lineRule="exact"/>
        <w:rPr>
          <w:sz w:val="20"/>
          <w:szCs w:val="20"/>
          <w:color w:val="auto"/>
        </w:rPr>
      </w:pPr>
    </w:p>
    <w:p>
      <w:pPr>
        <w:jc w:val="both"/>
        <w:ind w:right="460" w:firstLine="987"/>
        <w:spacing w:after="0" w:line="339"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Computation of Time Periods</w:t>
      </w:r>
      <w:r>
        <w:rPr>
          <w:rFonts w:ascii="Arial" w:cs="Arial" w:eastAsia="Arial" w:hAnsi="Arial"/>
          <w:sz w:val="16"/>
          <w:szCs w:val="16"/>
          <w:color w:val="auto"/>
        </w:rPr>
        <w:t>. Unless otherwise stated in this Agreement, in the computation of a period of time from a specified date to a later specified date, the word “from” means “from and including” and the words “to” and “until” each mean “to but excluding.”</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Interpretation</w:t>
      </w:r>
      <w:r>
        <w:rPr>
          <w:rFonts w:ascii="Arial" w:cs="Arial" w:eastAsia="Arial" w:hAnsi="Arial"/>
          <w:sz w:val="18"/>
          <w:szCs w:val="18"/>
          <w:color w:val="auto"/>
        </w:rPr>
        <w:t>. In each Transaction Document, unless a contrary intention appears:</w:t>
      </w:r>
    </w:p>
    <w:p>
      <w:pPr>
        <w:spacing w:after="0" w:line="115" w:lineRule="exact"/>
        <w:rPr>
          <w:sz w:val="20"/>
          <w:szCs w:val="20"/>
          <w:color w:val="auto"/>
        </w:rPr>
      </w:pPr>
    </w:p>
    <w:p>
      <w:pPr>
        <w:ind w:left="1240" w:hanging="25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singular number includes the plural number and vice versa;</w:t>
      </w:r>
    </w:p>
    <w:p>
      <w:pPr>
        <w:spacing w:after="0" w:line="115" w:lineRule="exact"/>
        <w:rPr>
          <w:rFonts w:ascii="Arial" w:cs="Arial" w:eastAsia="Arial" w:hAnsi="Arial"/>
          <w:sz w:val="18"/>
          <w:szCs w:val="18"/>
          <w:color w:val="auto"/>
        </w:rPr>
      </w:pPr>
    </w:p>
    <w:p>
      <w:pPr>
        <w:ind w:right="60" w:firstLine="989"/>
        <w:spacing w:after="0" w:line="275" w:lineRule="auto"/>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 to any Person includes such Person’s successors and assigns but only if such successors and assigns are not prohibited by the Transaction Documents;</w:t>
      </w:r>
    </w:p>
    <w:p>
      <w:pPr>
        <w:spacing w:after="0" w:line="63" w:lineRule="exact"/>
        <w:rPr>
          <w:rFonts w:ascii="Arial" w:cs="Arial" w:eastAsia="Arial" w:hAnsi="Arial"/>
          <w:sz w:val="18"/>
          <w:szCs w:val="18"/>
          <w:color w:val="auto"/>
        </w:rPr>
      </w:pPr>
    </w:p>
    <w:p>
      <w:pPr>
        <w:ind w:left="1240" w:hanging="25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 to any gender includes each other gender;</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 to day or days without further qualification means calendar days;</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reference to any time means New York, New York time;</w:t>
      </w:r>
    </w:p>
    <w:p>
      <w:pPr>
        <w:spacing w:after="0" w:line="115" w:lineRule="exact"/>
        <w:rPr>
          <w:rFonts w:ascii="Arial" w:cs="Arial" w:eastAsia="Arial" w:hAnsi="Arial"/>
          <w:sz w:val="18"/>
          <w:szCs w:val="18"/>
          <w:color w:val="auto"/>
        </w:rPr>
      </w:pPr>
    </w:p>
    <w:p>
      <w:pPr>
        <w:ind w:left="1220" w:hanging="231"/>
        <w:spacing w:after="0"/>
        <w:tabs>
          <w:tab w:leader="none" w:pos="1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 “or” is not exclusive;</w:t>
      </w:r>
    </w:p>
    <w:p>
      <w:pPr>
        <w:spacing w:after="0" w:line="115" w:lineRule="exact"/>
        <w:rPr>
          <w:rFonts w:ascii="Arial" w:cs="Arial" w:eastAsia="Arial" w:hAnsi="Arial"/>
          <w:sz w:val="18"/>
          <w:szCs w:val="18"/>
          <w:color w:val="auto"/>
        </w:rPr>
      </w:pPr>
    </w:p>
    <w:p>
      <w:pPr>
        <w:ind w:left="1240" w:hanging="251"/>
        <w:spacing w:after="0"/>
        <w:tabs>
          <w:tab w:leader="none" w:pos="12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reference to the words “include”, “includes” and “including” shall be deemed to be followed by the phrase “without limitation”;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60"/>
          </w:cols>
          <w:pgMar w:left="460" w:top="273" w:right="479" w:bottom="1440" w:gutter="0" w:footer="0" w:header="0"/>
        </w:sectPr>
      </w:pPr>
    </w:p>
    <w:bookmarkStart w:id="129" w:name="page130"/>
    <w:bookmarkEnd w:id="129"/>
    <w:p>
      <w:pPr>
        <w:ind w:left="-140" w:firstLine="989"/>
        <w:spacing w:after="0" w:line="258"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reference to any agreement (including any Transaction Document), document or instrument means such agreement, document or instrument as amended, modified, waived, supplemented, restated or replaced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w:t>
      </w:r>
    </w:p>
    <w:p>
      <w:pPr>
        <w:spacing w:after="0" w:line="77" w:lineRule="exact"/>
        <w:rPr>
          <w:rFonts w:ascii="Arial" w:cs="Arial" w:eastAsia="Arial" w:hAnsi="Arial"/>
          <w:sz w:val="18"/>
          <w:szCs w:val="18"/>
          <w:color w:val="auto"/>
        </w:rPr>
      </w:pPr>
    </w:p>
    <w:p>
      <w:pPr>
        <w:ind w:left="-140" w:right="200" w:firstLine="989"/>
        <w:spacing w:after="0" w:line="258" w:lineRule="auto"/>
        <w:tabs>
          <w:tab w:leader="none" w:pos="10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w:t>
      </w:r>
    </w:p>
    <w:p>
      <w:pPr>
        <w:spacing w:after="0" w:line="77" w:lineRule="exact"/>
        <w:rPr>
          <w:rFonts w:ascii="Arial" w:cs="Arial" w:eastAsia="Arial" w:hAnsi="Arial"/>
          <w:sz w:val="18"/>
          <w:szCs w:val="18"/>
          <w:color w:val="auto"/>
        </w:rPr>
      </w:pPr>
    </w:p>
    <w:p>
      <w:pPr>
        <w:ind w:left="-140" w:right="100" w:firstLine="989"/>
        <w:spacing w:after="0" w:line="262" w:lineRule="auto"/>
        <w:tabs>
          <w:tab w:leader="none" w:pos="1061"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reference to amounts outstanding or due and owing to the Lenders, any member of the Lender Groups, the Administrative Agent, the Collateral Agent, the Account Bank or the Collateral Custodian hereunder shall mean the Dollar Equivalent of such amounts, unless the context otherwise expressly requires; and</w:t>
      </w:r>
    </w:p>
    <w:p>
      <w:pPr>
        <w:spacing w:after="0" w:line="74" w:lineRule="exact"/>
        <w:rPr>
          <w:rFonts w:ascii="Arial" w:cs="Arial" w:eastAsia="Arial" w:hAnsi="Arial"/>
          <w:sz w:val="18"/>
          <w:szCs w:val="18"/>
          <w:color w:val="auto"/>
        </w:rPr>
      </w:pPr>
    </w:p>
    <w:p>
      <w:pPr>
        <w:ind w:left="-140" w:right="20" w:firstLine="989"/>
        <w:spacing w:after="0" w:line="275"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reference to any Event of Default shall not include any Event of Default that has been expressly waived in writing in accordance with the terms of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FACILITY</w:t>
      </w:r>
    </w:p>
    <w:p>
      <w:pPr>
        <w:spacing w:after="0" w:line="22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Note and Advances</w:t>
      </w:r>
      <w:r>
        <w:rPr>
          <w:rFonts w:ascii="Arial" w:cs="Arial" w:eastAsia="Arial" w:hAnsi="Arial"/>
          <w:sz w:val="18"/>
          <w:szCs w:val="18"/>
          <w:color w:val="auto"/>
        </w:rPr>
        <w:t>.</w:t>
      </w:r>
    </w:p>
    <w:p>
      <w:pPr>
        <w:spacing w:after="0" w:line="115" w:lineRule="exact"/>
        <w:rPr>
          <w:sz w:val="20"/>
          <w:szCs w:val="20"/>
          <w:color w:val="auto"/>
        </w:rPr>
      </w:pPr>
    </w:p>
    <w:p>
      <w:pPr>
        <w:ind w:left="-140" w:right="20" w:firstLine="989"/>
        <w:spacing w:after="0" w:line="269" w:lineRule="auto"/>
        <w:tabs>
          <w:tab w:leader="none" w:pos="109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Revolving Note</w:t>
      </w:r>
      <w:r>
        <w:rPr>
          <w:rFonts w:ascii="Arial" w:cs="Arial" w:eastAsia="Arial" w:hAnsi="Arial"/>
          <w:sz w:val="17"/>
          <w:szCs w:val="17"/>
          <w:color w:val="auto"/>
        </w:rPr>
        <w:t xml:space="preserve">. The Borrower has heretofore delivered or shall, on the date hereof (and on the terms and subject to the conditions hereinafter set forth), deliver, to each Lender Agent so requesting, at the address set forth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of this Agreement, and on the effective date of any Joinder Supplement, to each additional Lender Agent, at the address set forth in the applicable Joinder Supplement, a duly executed Revolving Note (the “</w:t>
      </w:r>
      <w:r>
        <w:rPr>
          <w:rFonts w:ascii="Arial" w:cs="Arial" w:eastAsia="Arial" w:hAnsi="Arial"/>
          <w:sz w:val="17"/>
          <w:szCs w:val="17"/>
          <w:u w:val="single" w:color="auto"/>
          <w:color w:val="auto"/>
        </w:rPr>
        <w:t>Revolving Note</w:t>
      </w:r>
      <w:r>
        <w:rPr>
          <w:rFonts w:ascii="Arial" w:cs="Arial" w:eastAsia="Arial" w:hAnsi="Arial"/>
          <w:sz w:val="17"/>
          <w:szCs w:val="17"/>
          <w:color w:val="auto"/>
        </w:rPr>
        <w:t xml:space="preserve">”) to the extent requested by such Lender Agent,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(i) in Dollars, in an aggregate face amount equal to the applicable Lender Group’s Group Advance Limit as of the Closing Date or the effective date of any Joinder Supplement, as applicable, and (ii) in each other Currency, in an aggregate face amount equal to 20% of the applicable Lender Group’s Group Advance Limit as of the Closing Date or the effective date of any Joinder Supplement, and otherwise duly completed. Interest shall accrue on the Revolving Note, and the Revolving Note shall be payable, as described herein.</w:t>
      </w:r>
    </w:p>
    <w:p>
      <w:pPr>
        <w:spacing w:after="0" w:line="74" w:lineRule="exact"/>
        <w:rPr>
          <w:rFonts w:ascii="Arial" w:cs="Arial" w:eastAsia="Arial" w:hAnsi="Arial"/>
          <w:sz w:val="17"/>
          <w:szCs w:val="17"/>
          <w:color w:val="auto"/>
        </w:rPr>
      </w:pPr>
    </w:p>
    <w:p>
      <w:pPr>
        <w:ind w:left="-140" w:firstLine="989"/>
        <w:spacing w:after="0" w:line="300" w:lineRule="auto"/>
        <w:tabs>
          <w:tab w:leader="none" w:pos="110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On the terms and conditions hereinafter set forth, the Borrower may at its option, by delivery of a Notice of Borrowing to the Administrative Agent and each Lender Agent, from time to time on any Business Day from the Closing Date until the end of the Revolving Period, request that the Lenders make Advances to it in an amount which after giving effect to such Advances, would not cause the aggregate Advances Outstanding to exceed the Maximum Availability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that no more than one Same-Day Advance and no</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680"/>
          </w:cols>
          <w:pgMar w:left="600" w:top="273" w:right="619" w:bottom="1440" w:gutter="0" w:footer="0" w:header="0"/>
        </w:sectPr>
      </w:pPr>
    </w:p>
    <w:bookmarkStart w:id="130" w:name="page131"/>
    <w:bookmarkEnd w:id="130"/>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more than one Foreign Currency Advance may be made in any one calendar week and no more than three Advances may be made in any one calendar week;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Advance shall not result in a Foreign Currency Excess Exposure;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during any CQT Non-Qualification Period and with respect to an Advance proposed to be funded in connection with the addition of a Loan Asset to the Collateral Portfolio (whether by sale or contribution), such Advance results in Collateral Quality Improvement,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shall not deliver a Notice of Borrowing and the Lenders shall have no obligation to fund Advances during any Suspension Period. Such Advances shall be used for the purpose of purchasing Eligible Loan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if such Eligible Loan Asset is a Foreign Currency Loan Asset, either (x) such Foreign Currency Loan Asset shall be subject to a Hedging Agreement, or (y) such Advance shall be a Foreign Currency Advance in the related Foreign Currency. Upon receipt of such Notice of Borrowing, the Lender Agent for each Lender Group containing one or more Conduit Lenders shall notify the Conduit Lenders in its Lender Group of the requested Advance, and such Conduit Lenders may, in their sole discretion, agree or decline to make the Advance. If any Conduit Lender declines to make all or any part of a proposed Advance, the Lender Agent for such Conduit Lender shall so notify the Liquidity Banks in its Lender Group and the applicable portion of the Advance shall be made by such Liquidity Banks in accordance with their ratable shares of the Group Advance Limit for their Lender Group. Under no circumstances shall any Conduit Lender make any Advance or shall any Liquidity Bank or any Institutional Lender be required to make any Advance if after giving effect to such Advance and the addition to the Collateral Portfolio of the Eligible Loan Assets being acquired by the Borrower using the proceeds of such Advance, (i) an Event of Default has occurred and is continuing or would result therefrom or an Unmatured Event of Default exists or would result therefrom or (ii) the aggregate Advances Outstanding would exceed the Maximum Draw Amount. Notwithstanding anything contained in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elsewhere in this Agreement to the contrary, (A) no Liquidity Bank shall be obligated to make any Advance in an amount that would, after giving effect to such Advance, exceed such Liquidity Bank’s Commitment less the sum of (x) the aggregate outstanding amount of any Advances funded by such Liquidity Bank under such Liquidity Bank’s Liquidity Agreement </w:t>
      </w:r>
      <w:r>
        <w:rPr>
          <w:rFonts w:ascii="Arial" w:cs="Arial" w:eastAsia="Arial" w:hAnsi="Arial"/>
          <w:sz w:val="16"/>
          <w:szCs w:val="16"/>
          <w:i w:val="1"/>
          <w:iCs w:val="1"/>
          <w:color w:val="auto"/>
        </w:rPr>
        <w:t xml:space="preserve">plus </w:t>
      </w:r>
      <w:r>
        <w:rPr>
          <w:rFonts w:ascii="Arial" w:cs="Arial" w:eastAsia="Arial" w:hAnsi="Arial"/>
          <w:sz w:val="16"/>
          <w:szCs w:val="16"/>
          <w:color w:val="auto"/>
        </w:rPr>
        <w:t>(y) such Liquidity Bank’s ratable share of the aggregate outstanding Advances made by the Conduit Lenders in such Liquidity Bank’s Lender</w:t>
      </w:r>
      <w:r>
        <w:rPr>
          <w:rFonts w:ascii="Arial" w:cs="Arial" w:eastAsia="Arial" w:hAnsi="Arial"/>
          <w:sz w:val="16"/>
          <w:szCs w:val="16"/>
          <w:i w:val="1"/>
          <w:iCs w:val="1"/>
          <w:color w:val="auto"/>
        </w:rPr>
        <w:t xml:space="preserve"> </w:t>
      </w:r>
      <w:r>
        <w:rPr>
          <w:rFonts w:ascii="Arial" w:cs="Arial" w:eastAsia="Arial" w:hAnsi="Arial"/>
          <w:sz w:val="16"/>
          <w:szCs w:val="16"/>
          <w:color w:val="auto"/>
        </w:rPr>
        <w:t>Group (whether or not any portion thereof has been assigned under a Liquidity Agreement), (B) no Institutional Lender shall be obligated to make any Advance in an amount that would, after giving effect to such Advance, exceed such Institutional Lender’s Commitment less the aggregate outstanding amount of any Advances funded by such Institutional Lender, (C) no Conduit Lender shall make any Advance in an amount that would, after giving effect to such Advance, result in the aggregate Advances then funded by all of the Conduit Lenders in a Lender Group exceeding the Group Advance Limit for such Lender Group then in effect and (D) no Conduit Lender shall make any Advance and no Liquidity Bank or Institutional Lender shall be required to make any Advance if after giving effect to such Advance, the aggregate amount of Advances Outstanding would exceed the Maximum Availability. Each Advance to be made hereunder shall be made ratably among the Lender Groups in accordance with their Group Advance Limits.</w:t>
      </w:r>
    </w:p>
    <w:p>
      <w:pPr>
        <w:spacing w:after="0" w:line="76" w:lineRule="exact"/>
        <w:rPr>
          <w:sz w:val="20"/>
          <w:szCs w:val="20"/>
          <w:color w:val="auto"/>
        </w:rPr>
      </w:pPr>
    </w:p>
    <w:p>
      <w:pPr>
        <w:ind w:right="120" w:firstLine="989"/>
        <w:spacing w:after="0" w:line="254" w:lineRule="auto"/>
        <w:tabs>
          <w:tab w:leader="none" w:pos="123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Notations on Revolving Note</w:t>
      </w:r>
      <w:r>
        <w:rPr>
          <w:rFonts w:ascii="Arial" w:cs="Arial" w:eastAsia="Arial" w:hAnsi="Arial"/>
          <w:sz w:val="18"/>
          <w:szCs w:val="18"/>
          <w:color w:val="auto"/>
        </w:rPr>
        <w:t>. Each Lender Agent is hereby authorized to enter on a schedule attached to the Revolving Note with respect to each Lender in such Lender Agent’s Lender Group a notation (which may be computer generated) with respect to each Advance under the Revolving Note made by the applicable Lender of: (i) the date and principal amount thereof, and (ii) each repayment of principal thereof, and any such recordation shall constitute prima facie evidence of the accuracy of the information so recorded. The failure of any Lender Agent to make any such notation on the schedule attached to any Revolving Note shall not limit or otherwise affect the obligation of the Borrower to repay the Advances in accordance with their respective terms as set forth herein.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40"/>
          </w:cols>
          <w:pgMar w:left="460" w:top="273" w:right="499" w:bottom="1440" w:gutter="0" w:footer="0" w:header="0"/>
        </w:sectPr>
      </w:pPr>
    </w:p>
    <w:bookmarkStart w:id="131" w:name="page132"/>
    <w:bookmarkEnd w:id="131"/>
    <w:p>
      <w:pPr>
        <w:jc w:val="both"/>
        <w:ind w:right="200" w:firstLine="987"/>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2.02 </w:t>
      </w:r>
      <w:r>
        <w:rPr>
          <w:rFonts w:ascii="Arial" w:cs="Arial" w:eastAsia="Arial" w:hAnsi="Arial"/>
          <w:sz w:val="18"/>
          <w:szCs w:val="18"/>
          <w:u w:val="single" w:color="auto"/>
          <w:color w:val="auto"/>
        </w:rPr>
        <w:t>Procedure for Advances</w:t>
      </w:r>
      <w:r>
        <w:rPr>
          <w:rFonts w:ascii="Arial" w:cs="Arial" w:eastAsia="Arial" w:hAnsi="Arial"/>
          <w:sz w:val="18"/>
          <w:szCs w:val="18"/>
          <w:color w:val="auto"/>
        </w:rPr>
        <w:t xml:space="preserve">. (a) On any Business Day during the Revolving Period (unless a Suspension Period), the Borrower may request that the Lenders make Advances, subject to and in accordance with the terms and conditions of </w:t>
      </w:r>
      <w:r>
        <w:rPr>
          <w:rFonts w:ascii="Arial" w:cs="Arial" w:eastAsia="Arial" w:hAnsi="Arial"/>
          <w:sz w:val="18"/>
          <w:szCs w:val="18"/>
          <w:u w:val="single" w:color="auto"/>
          <w:color w:val="auto"/>
        </w:rPr>
        <w:t>Sections 2.01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and subject to the provisions of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w:t>
      </w:r>
    </w:p>
    <w:p>
      <w:pPr>
        <w:spacing w:after="0" w:line="75" w:lineRule="exact"/>
        <w:rPr>
          <w:sz w:val="20"/>
          <w:szCs w:val="20"/>
          <w:color w:val="auto"/>
        </w:rPr>
      </w:pPr>
    </w:p>
    <w:p>
      <w:pPr>
        <w:ind w:firstLine="989"/>
        <w:spacing w:after="0" w:line="290" w:lineRule="auto"/>
        <w:tabs>
          <w:tab w:leader="none" w:pos="12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Each Advance shall be made upon delivery of an irrevocable request for an Advance from the Borrower to the Administrative Agent and each Lender Agent, with a copy to the Collateral Agent and the Collateral Custodian, (i) with respect to a proposed Foreign Currency Loan Advance, no later than 2:00 p.m. three Business Days’ prior to the proposed date of such Advance, and (ii) with respect to all other proposed Advances, no later than 2:00 p.m. on the Business Day immediately prior to (or by 10:00 am on the same Business Day of) the proposed date of such Advance (which shall be a Business Day), in the form of a Notice of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request same day funding more than once in any Month. Each Notice of Borrowing shall include a duly completed Borrowing Base Certificate (updated to the date such Advance is requested and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Advance requested and the use of the proceeds thereof), and shall specify:</w:t>
      </w:r>
    </w:p>
    <w:p>
      <w:pPr>
        <w:spacing w:after="0" w:line="56" w:lineRule="exact"/>
        <w:rPr>
          <w:rFonts w:ascii="Arial" w:cs="Arial" w:eastAsia="Arial" w:hAnsi="Arial"/>
          <w:sz w:val="16"/>
          <w:szCs w:val="16"/>
          <w:color w:val="auto"/>
        </w:rPr>
      </w:pPr>
    </w:p>
    <w:p>
      <w:pPr>
        <w:ind w:left="440" w:right="20" w:firstLine="421"/>
        <w:spacing w:after="0" w:line="275" w:lineRule="auto"/>
        <w:tabs>
          <w:tab w:leader="none" w:pos="107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the aggregate amount of such Advance, which amount shall not cause the Advances Outstanding to exceed the Borrowing Base;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Advance must be at least equal to $500,000 (or its Dollar Equivalent);</w:t>
      </w:r>
    </w:p>
    <w:p>
      <w:pPr>
        <w:spacing w:after="0" w:line="63" w:lineRule="exact"/>
        <w:rPr>
          <w:rFonts w:ascii="Arial" w:cs="Arial" w:eastAsia="Arial" w:hAnsi="Arial"/>
          <w:sz w:val="18"/>
          <w:szCs w:val="18"/>
          <w:color w:val="auto"/>
        </w:rPr>
      </w:pPr>
    </w:p>
    <w:p>
      <w:pPr>
        <w:ind w:left="440" w:right="80" w:firstLine="421"/>
        <w:spacing w:after="0" w:line="284" w:lineRule="auto"/>
        <w:tabs>
          <w:tab w:leader="none" w:pos="112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proposed date of such Advance and, if such Advance is to be a Fixed LIBOR Advance, the related Fixed Period (it being understood that if notice of such Advance is not provided at least two Business Days prior to the proposed Cut-Off Date, then such Advance shall be a Daily LIBOR Advance for two Business Days following which the Advance shall convert to a Fixed LIBOR Advance);</w:t>
      </w:r>
    </w:p>
    <w:p>
      <w:pPr>
        <w:spacing w:after="0" w:line="58" w:lineRule="exact"/>
        <w:rPr>
          <w:rFonts w:ascii="Arial" w:cs="Arial" w:eastAsia="Arial" w:hAnsi="Arial"/>
          <w:sz w:val="17"/>
          <w:szCs w:val="17"/>
          <w:color w:val="auto"/>
        </w:rPr>
      </w:pPr>
    </w:p>
    <w:p>
      <w:pPr>
        <w:ind w:left="1180" w:hanging="319"/>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proposed Currency of such Advance;</w:t>
      </w:r>
    </w:p>
    <w:p>
      <w:pPr>
        <w:spacing w:after="0" w:line="115" w:lineRule="exact"/>
        <w:rPr>
          <w:rFonts w:ascii="Arial" w:cs="Arial" w:eastAsia="Arial" w:hAnsi="Arial"/>
          <w:sz w:val="18"/>
          <w:szCs w:val="18"/>
          <w:color w:val="auto"/>
        </w:rPr>
      </w:pPr>
    </w:p>
    <w:p>
      <w:pPr>
        <w:jc w:val="both"/>
        <w:ind w:left="440" w:right="80" w:firstLine="421"/>
        <w:spacing w:after="0" w:line="262" w:lineRule="auto"/>
        <w:tabs>
          <w:tab w:leader="none" w:pos="11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the continuance of any CQT Non-Qualification Period and with respect to an Advance proposed to be funded in connection with the addition of a Loan Asset to the Collateral Portfolio (whether by sale or contribution), a written certification of the Servicer demonstrating that such Advance results in Collateral Quality Improvement; and</w:t>
      </w:r>
    </w:p>
    <w:p>
      <w:pPr>
        <w:spacing w:after="0" w:line="74" w:lineRule="exact"/>
        <w:rPr>
          <w:rFonts w:ascii="Arial" w:cs="Arial" w:eastAsia="Arial" w:hAnsi="Arial"/>
          <w:sz w:val="18"/>
          <w:szCs w:val="18"/>
          <w:color w:val="auto"/>
        </w:rPr>
      </w:pPr>
    </w:p>
    <w:p>
      <w:pPr>
        <w:ind w:left="1120" w:hanging="259"/>
        <w:spacing w:after="0"/>
        <w:tabs>
          <w:tab w:leader="none" w:pos="11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a representation that all conditions precedent for an Advance described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hereof have been satisfied.</w:t>
      </w:r>
    </w:p>
    <w:p>
      <w:pPr>
        <w:spacing w:after="0" w:line="223"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No later than 1:00 p.m. on the date of each Advance, upon satisfaction of the applicable conditions set forth in Article III, (i) on the Closing Date and during the Conforming Funding Period, each Conduit Lender may, or the related Liquidity Banks and Institutional Lender shall, in accordance with instructions received by the Lender Agent for such Lenders from the Borrower, make available to the Borrower, in same day funds, an amount equal to such Lender’s Commitment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460" w:top="273" w:right="479" w:bottom="1440" w:gutter="0" w:footer="0" w:header="0"/>
        </w:sectPr>
      </w:pPr>
    </w:p>
    <w:bookmarkStart w:id="132" w:name="page133"/>
    <w:bookmarkEnd w:id="132"/>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Percentage of such Advance, by payment into the account which the Borrower has designated in writing, and (ii) during the Delayed Funding Period, each Conduit Lender may, or the related Liquidity Banks and Institutional Lender shall (in each case, other than Delayed Funding Lenders and other members of a Delayed Funding Lender Group), in accordance with instructions received by the Lender Agent for such Lenders from the Borrower, make available to the Borrower, in same day funds, an amount equal to such Lender’s Pro Rata Share of such Advance, by payment into the account which the Borrower has designated in writing.</w:t>
      </w:r>
    </w:p>
    <w:p>
      <w:pPr>
        <w:spacing w:after="0" w:line="83" w:lineRule="exact"/>
        <w:rPr>
          <w:sz w:val="20"/>
          <w:szCs w:val="20"/>
          <w:color w:val="auto"/>
        </w:rPr>
      </w:pPr>
    </w:p>
    <w:p>
      <w:pPr>
        <w:ind w:left="1240" w:hanging="251"/>
        <w:spacing w:after="0"/>
        <w:tabs>
          <w:tab w:leader="none" w:pos="12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Advances shall bear interest at the Yield Rate.</w:t>
      </w:r>
    </w:p>
    <w:p>
      <w:pPr>
        <w:spacing w:after="0" w:line="115" w:lineRule="exact"/>
        <w:rPr>
          <w:rFonts w:ascii="Arial" w:cs="Arial" w:eastAsia="Arial" w:hAnsi="Arial"/>
          <w:sz w:val="18"/>
          <w:szCs w:val="18"/>
          <w:color w:val="auto"/>
        </w:rPr>
      </w:pPr>
    </w:p>
    <w:p>
      <w:pPr>
        <w:ind w:right="60" w:firstLine="989"/>
        <w:spacing w:after="0" w:line="284" w:lineRule="auto"/>
        <w:tabs>
          <w:tab w:leader="none" w:pos="12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and the other terms, conditions, provisions and limitations set forth herein, the Borrower may borrow, repay or prepay and reborrow Advances without any penalty, fee or premium on and after the Closing Date and prior to the end of the Revolving Period; </w:t>
      </w:r>
      <w:r>
        <w:rPr>
          <w:rFonts w:ascii="Arial" w:cs="Arial" w:eastAsia="Arial" w:hAnsi="Arial"/>
          <w:sz w:val="17"/>
          <w:szCs w:val="17"/>
          <w:u w:val="single" w:color="auto"/>
          <w:color w:val="auto"/>
        </w:rPr>
        <w:t>provided</w:t>
      </w:r>
      <w:r>
        <w:rPr>
          <w:rFonts w:ascii="Arial" w:cs="Arial" w:eastAsia="Arial" w:hAnsi="Arial"/>
          <w:sz w:val="17"/>
          <w:szCs w:val="17"/>
          <w:color w:val="auto"/>
        </w:rPr>
        <w:t>, that the repayment of any Foreign Currency Advance shall be made solely in the related Foreign Currency.</w:t>
      </w:r>
    </w:p>
    <w:p>
      <w:pPr>
        <w:spacing w:after="0" w:line="58" w:lineRule="exact"/>
        <w:rPr>
          <w:rFonts w:ascii="Arial" w:cs="Arial" w:eastAsia="Arial" w:hAnsi="Arial"/>
          <w:sz w:val="17"/>
          <w:szCs w:val="17"/>
          <w:color w:val="auto"/>
        </w:rPr>
      </w:pPr>
    </w:p>
    <w:p>
      <w:pPr>
        <w:ind w:right="380" w:firstLine="989"/>
        <w:spacing w:after="0" w:line="258" w:lineRule="auto"/>
        <w:tabs>
          <w:tab w:leader="none" w:pos="123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determination by the Administrative Agent or any Lender Agent of the existence of any Eurodollar Disruption Event (any such determination to be communicated to the Borrower by written notice from the Administrative Agent or such Lender Agent promptly after the Administrative Agent or such Lender Agent learns of such event), or of the effect of any Eurodollar Disruption Event on its making or maintaining Advances at LIBOR, shall be conclusive absent manifest error.</w:t>
      </w:r>
    </w:p>
    <w:p>
      <w:pPr>
        <w:spacing w:after="0" w:line="77" w:lineRule="exact"/>
        <w:rPr>
          <w:rFonts w:ascii="Arial" w:cs="Arial" w:eastAsia="Arial" w:hAnsi="Arial"/>
          <w:sz w:val="18"/>
          <w:szCs w:val="18"/>
          <w:color w:val="auto"/>
        </w:rPr>
      </w:pPr>
    </w:p>
    <w:p>
      <w:pPr>
        <w:jc w:val="both"/>
        <w:ind w:firstLine="989"/>
        <w:spacing w:after="0" w:line="262" w:lineRule="auto"/>
        <w:tabs>
          <w:tab w:leader="none" w:pos="1207"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obligation of each Liquidity Bank and Institutional Lender to remit its Pro Rata Share of any Advance shall be several from that of each other Liquidity Bank and Institutional Lender and the failure of any Liquidity Bank or Institutional Lender to so make such amount available to the Borrower shall not relieve any other Liquidity Bank or Institutional Lender of its obligation hereunder.</w:t>
      </w:r>
    </w:p>
    <w:p>
      <w:pPr>
        <w:spacing w:after="0" w:line="74" w:lineRule="exact"/>
        <w:rPr>
          <w:rFonts w:ascii="Arial" w:cs="Arial" w:eastAsia="Arial" w:hAnsi="Arial"/>
          <w:sz w:val="18"/>
          <w:szCs w:val="18"/>
          <w:color w:val="auto"/>
        </w:rPr>
      </w:pPr>
    </w:p>
    <w:p>
      <w:pPr>
        <w:ind w:left="1240" w:hanging="251"/>
        <w:spacing w:after="0"/>
        <w:tabs>
          <w:tab w:leader="none" w:pos="12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Special Provisions for Delayed Fundings</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440" w:right="20" w:firstLine="421"/>
        <w:spacing w:after="0" w:line="287" w:lineRule="auto"/>
        <w:tabs>
          <w:tab w:leader="none" w:pos="1075"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 any time, five Business Days after receipt by the Administrative Agent and the Servicer of a Delayed Funding Certificate from a Lender Agent, the related Liquidity Bank or Institutional Lender holding a Commitment shall be deemed a “</w:t>
      </w:r>
      <w:r>
        <w:rPr>
          <w:rFonts w:ascii="Arial" w:cs="Arial" w:eastAsia="Arial" w:hAnsi="Arial"/>
          <w:sz w:val="16"/>
          <w:szCs w:val="16"/>
          <w:u w:val="single" w:color="auto"/>
          <w:color w:val="auto"/>
        </w:rPr>
        <w:t>Delayed Funding Lender</w:t>
      </w:r>
      <w:r>
        <w:rPr>
          <w:rFonts w:ascii="Arial" w:cs="Arial" w:eastAsia="Arial" w:hAnsi="Arial"/>
          <w:sz w:val="16"/>
          <w:szCs w:val="16"/>
          <w:color w:val="auto"/>
        </w:rPr>
        <w:t>” and its related Lender Group shall be deemed a “</w:t>
      </w:r>
      <w:r>
        <w:rPr>
          <w:rFonts w:ascii="Arial" w:cs="Arial" w:eastAsia="Arial" w:hAnsi="Arial"/>
          <w:sz w:val="16"/>
          <w:szCs w:val="16"/>
          <w:u w:val="single" w:color="auto"/>
          <w:color w:val="auto"/>
        </w:rPr>
        <w:t>Delayed Funding Lender Group</w:t>
      </w:r>
      <w:r>
        <w:rPr>
          <w:rFonts w:ascii="Arial" w:cs="Arial" w:eastAsia="Arial" w:hAnsi="Arial"/>
          <w:sz w:val="16"/>
          <w:szCs w:val="16"/>
          <w:color w:val="auto"/>
        </w:rPr>
        <w:t>”. Such designation shall remain in effect until such time as the related Delayed Funding Lender Agent issues a written notice to the Administrative Agent and the Servicer withdrawing such designation (a “</w:t>
      </w:r>
      <w:r>
        <w:rPr>
          <w:rFonts w:ascii="Arial" w:cs="Arial" w:eastAsia="Arial" w:hAnsi="Arial"/>
          <w:sz w:val="16"/>
          <w:szCs w:val="16"/>
          <w:u w:val="single" w:color="auto"/>
          <w:color w:val="auto"/>
        </w:rPr>
        <w:t>Delayed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Funding De-Designation Notice</w:t>
      </w:r>
      <w:r>
        <w:rPr>
          <w:rFonts w:ascii="Arial" w:cs="Arial" w:eastAsia="Arial" w:hAnsi="Arial"/>
          <w:sz w:val="16"/>
          <w:szCs w:val="16"/>
          <w:color w:val="auto"/>
        </w:rPr>
        <w:t>”) which notice shall be effective as of the date of such notice or as of such later date specified therein (the “</w:t>
      </w:r>
      <w:r>
        <w:rPr>
          <w:rFonts w:ascii="Arial" w:cs="Arial" w:eastAsia="Arial" w:hAnsi="Arial"/>
          <w:sz w:val="16"/>
          <w:szCs w:val="16"/>
          <w:u w:val="single" w:color="auto"/>
          <w:color w:val="auto"/>
        </w:rPr>
        <w:t>Delayed Funding De-Designation Date</w:t>
      </w:r>
      <w:r>
        <w:rPr>
          <w:rFonts w:ascii="Arial" w:cs="Arial" w:eastAsia="Arial" w:hAnsi="Arial"/>
          <w:sz w:val="16"/>
          <w:szCs w:val="16"/>
          <w:color w:val="auto"/>
        </w:rPr>
        <w:t xml:space="preserve">”). Effective as of the Delayed Funding De-Designation Date, each Committed Lender that is a Delayed Funding Lender, and each related Lender Group that is a Delayed Funding Lender Group, shall cease to be a Delayed Funding Lender or a Delayed Funding Lender Group, as applicable and shall, for all purposes other than pursuant to the proviso hereto, be deemed to be a Conforming Lender and a Conforming Lender Group,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connection with any Advance outstanding as of the Delayed Funding De-Designation Date for which any Delayed Funding Lender has not, as of such date, paid its Delayed Funding Amounts, such</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20"/>
          </w:cols>
          <w:pgMar w:left="460" w:top="273" w:right="519" w:bottom="1440" w:gutter="0" w:footer="0" w:header="0"/>
        </w:sectPr>
      </w:pPr>
    </w:p>
    <w:bookmarkStart w:id="133" w:name="page134"/>
    <w:bookmarkEnd w:id="133"/>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Delayed Funding De-Designation Date shall be deemed to be the Delayed Funding Settlement Date for such Advance and such Delayed Funding Lender shall comply with its obligations pursuant to </w:t>
      </w:r>
      <w:r>
        <w:rPr>
          <w:rFonts w:ascii="Arial" w:cs="Arial" w:eastAsia="Arial" w:hAnsi="Arial"/>
          <w:sz w:val="18"/>
          <w:szCs w:val="18"/>
          <w:u w:val="single" w:color="auto"/>
          <w:color w:val="auto"/>
        </w:rPr>
        <w:t>Section 2.02(g)(ii)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2.02(g)(iii)</w:t>
      </w:r>
      <w:r>
        <w:rPr>
          <w:rFonts w:ascii="Arial" w:cs="Arial" w:eastAsia="Arial" w:hAnsi="Arial"/>
          <w:sz w:val="18"/>
          <w:szCs w:val="18"/>
          <w:color w:val="auto"/>
        </w:rPr>
        <w:t xml:space="preserve"> for such Delayed Funding Settlement Date. The Servicer and the Borrower hereby acknowledge and agree that delivery of a Delayed Funding De-Designation Notice may give rise to liability for increased costs and expenses under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the reimbursement or compensation of such increased costs and expenses shall be governed by the terms of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83" w:lineRule="exact"/>
        <w:rPr>
          <w:sz w:val="20"/>
          <w:szCs w:val="20"/>
          <w:color w:val="auto"/>
        </w:rPr>
      </w:pPr>
    </w:p>
    <w:p>
      <w:pPr>
        <w:ind w:right="40" w:firstLine="421"/>
        <w:spacing w:after="0" w:line="283" w:lineRule="auto"/>
        <w:tabs>
          <w:tab w:leader="none" w:pos="685"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On each Delayed Funding Settlement Date, each Delayed Funding Lender shall fund to the Administrative Agent the Delayed Funding Advance Amount, which amount (1) if such Delayed Funding Settlement Date occurs prior to the occurrence and continuance of an Event of Default or Servicer Termination Date hereunder, shall be distributed to the Borrower as an Advance hereunder, and (2) if such Delayed Funding Settlement Date occurs following the occurrence and during the continuance of an Event of Default or Servicer Termination Date hereunder, shall be paid to the Administrative Agent for distribution on the same Business Day to the Lenders (including such Delayed Funding Lender) in accordance with their Pro Rata Share under </w:t>
      </w:r>
      <w:r>
        <w:rPr>
          <w:rFonts w:ascii="Arial" w:cs="Arial" w:eastAsia="Arial" w:hAnsi="Arial"/>
          <w:sz w:val="16"/>
          <w:szCs w:val="16"/>
          <w:u w:val="single" w:color="auto"/>
          <w:color w:val="auto"/>
        </w:rPr>
        <w:t>clause (1)(ii)</w:t>
      </w:r>
      <w:r>
        <w:rPr>
          <w:rFonts w:ascii="Arial" w:cs="Arial" w:eastAsia="Arial" w:hAnsi="Arial"/>
          <w:sz w:val="16"/>
          <w:szCs w:val="16"/>
          <w:color w:val="auto"/>
        </w:rPr>
        <w:t xml:space="preserve"> of such defined term (calculated presuming that all Delayed Funding Amounts of any other Delayed Funding Lender Groups have been fully funded);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Delayed Funding Lender shall not fund to the Administrative Agent and shall instead net out of its ratable portion of the Delayed Funding Amounts any amounts that it is entitled to receive from the Administrative Agent under this </w:t>
      </w:r>
      <w:r>
        <w:rPr>
          <w:rFonts w:ascii="Arial" w:cs="Arial" w:eastAsia="Arial" w:hAnsi="Arial"/>
          <w:sz w:val="16"/>
          <w:szCs w:val="16"/>
          <w:u w:val="single" w:color="auto"/>
          <w:color w:val="auto"/>
        </w:rPr>
        <w:t>clause (g)(ii)(2)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any such payment reduce the Advances Outstanding and related Obligations of any Lender or Lender Group below zero. Upon the payment of the Delayed Funding Amounts in accordance with the provisions of </w:t>
      </w:r>
      <w:r>
        <w:rPr>
          <w:rFonts w:ascii="Arial" w:cs="Arial" w:eastAsia="Arial" w:hAnsi="Arial"/>
          <w:sz w:val="16"/>
          <w:szCs w:val="16"/>
          <w:u w:val="single" w:color="auto"/>
          <w:color w:val="auto"/>
        </w:rPr>
        <w:t>clause (ii)(2)</w:t>
      </w:r>
      <w:r>
        <w:rPr>
          <w:rFonts w:ascii="Arial" w:cs="Arial" w:eastAsia="Arial" w:hAnsi="Arial"/>
          <w:sz w:val="16"/>
          <w:szCs w:val="16"/>
          <w:color w:val="auto"/>
        </w:rPr>
        <w:t xml:space="preserve"> above and without any further action on the part of such Delayed Funding Lender making such payment, the Borrower, the Administrative Agent or the other Lenders, the Delayed Funding Lender making such payment will have acquired, and each Lender receiving a distribution of a portion of such payment will have granted to such Delayed Funding Lender, without recourse or warranty, its portions of the Advances Outstanding that were reduced by application of the distribution of such Delayed Funding Amounts by the Administrative Agent. The Advances Outstanding owing to each Lender member of a Lender Group other than such Delayed Funding Lender’s Delayed Funding Lender Group shall be reduced by the amount of any portion of such payment received by such Lender and the Advances Outstanding owing to the Delayed Funding Lender making such payment shall be increased by all amounts so paid such that the Aggregate Advances Outstanding immediately prior to such payment and distribution shall be unchanged and shall continue to equal to the Aggregate Advances Outstanding immediately following such payment and distribution.</w:t>
      </w:r>
    </w:p>
    <w:p>
      <w:pPr>
        <w:spacing w:after="0" w:line="287" w:lineRule="exact"/>
        <w:rPr>
          <w:rFonts w:ascii="Arial" w:cs="Arial" w:eastAsia="Arial" w:hAnsi="Arial"/>
          <w:sz w:val="16"/>
          <w:szCs w:val="16"/>
          <w:color w:val="auto"/>
        </w:rPr>
      </w:pPr>
    </w:p>
    <w:p>
      <w:pPr>
        <w:ind w:firstLine="421"/>
        <w:spacing w:after="0" w:line="295" w:lineRule="auto"/>
        <w:tabs>
          <w:tab w:leader="none" w:pos="734"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obligation of each Delayed Funding Lender to fund the Delayed Funding Advance Amount on the related Delayed Funding Settlement Date is subject to any valid and timely claims of a Delayed Funding Lender under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 but is otherwise absolute and unconditional and shall not be affected by any circumstance whatsoever, including (1) any setoff, counterclaim, recoupment, defense or other right which such Delayed Funding Lender may have against the Administrative Agent, the other Lenders, the Borrower, or any other Person for any reason whatsoever; (2) the occurrence or continuance of an Unmatured Event of Default or Event of Default; (3) the termination</w:t>
      </w:r>
    </w:p>
    <w:p>
      <w:pPr>
        <w:spacing w:after="0" w:line="9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00"/>
          </w:cols>
          <w:pgMar w:left="900" w:top="273" w:right="499" w:bottom="1440" w:gutter="0" w:footer="0" w:header="0"/>
        </w:sectPr>
      </w:pPr>
    </w:p>
    <w:bookmarkStart w:id="134" w:name="page135"/>
    <w:bookmarkEnd w:id="134"/>
    <w:p>
      <w:pPr>
        <w:ind w:left="440" w:right="10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of the Revolving Period, (4) the reduction or termination of any Commitments; or (5) any other occurrence, event, or condition, whether or not similar to any of the foregoing (in each case, so long as such allocation, when added to the Drawn Amount of such Delayed Funding Lender does not exceed such Lender’s Commitment). The funding or failure to fund any Delayed Funding Advance Amount will not relieve or otherwise impair the obligation of the Borrower to repay all Advances, together with interest as provided in this Agreement.</w:t>
      </w:r>
    </w:p>
    <w:p>
      <w:pPr>
        <w:spacing w:after="0" w:line="65" w:lineRule="exact"/>
        <w:rPr>
          <w:sz w:val="20"/>
          <w:szCs w:val="20"/>
          <w:color w:val="auto"/>
        </w:rPr>
      </w:pPr>
    </w:p>
    <w:p>
      <w:pPr>
        <w:ind w:left="440" w:right="60" w:firstLine="421"/>
        <w:spacing w:after="0" w:line="272" w:lineRule="auto"/>
        <w:tabs>
          <w:tab w:leader="none" w:pos="1164"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 Delayed Funding Lender may not object to its funding obligation of any Delayed Funding Amounts under </w:t>
      </w:r>
      <w:r>
        <w:rPr>
          <w:rFonts w:ascii="Arial" w:cs="Arial" w:eastAsia="Arial" w:hAnsi="Arial"/>
          <w:sz w:val="17"/>
          <w:szCs w:val="17"/>
          <w:u w:val="single" w:color="auto"/>
          <w:color w:val="auto"/>
        </w:rPr>
        <w:t>Section 2.01(g)</w:t>
      </w:r>
      <w:r>
        <w:rPr>
          <w:rFonts w:ascii="Arial" w:cs="Arial" w:eastAsia="Arial" w:hAnsi="Arial"/>
          <w:sz w:val="17"/>
          <w:szCs w:val="17"/>
          <w:color w:val="auto"/>
        </w:rPr>
        <w:t xml:space="preserve"> on the basis of the failure of the Borrower to satisfy the conditions precedent set forth in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as of the Delayed Funding Settlement Date so long as all such conditions were satisfied as of the related Delayed Funding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absolute and unconditional funding obligations of a Delayed Funding Lender of Delayed Funding Amounts set forth in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do not constitute a waiver of any rights of such Delayed Funding Lender or of rights and remedies of the Administrative Agent and the Lenders (including such Delayed Funding Lender) against the Borrower, in each case, as set forth hereunder.</w:t>
      </w:r>
    </w:p>
    <w:p>
      <w:pPr>
        <w:spacing w:after="0" w:line="68" w:lineRule="exact"/>
        <w:rPr>
          <w:rFonts w:ascii="Arial" w:cs="Arial" w:eastAsia="Arial" w:hAnsi="Arial"/>
          <w:sz w:val="17"/>
          <w:szCs w:val="17"/>
          <w:color w:val="auto"/>
        </w:rPr>
      </w:pPr>
    </w:p>
    <w:p>
      <w:pPr>
        <w:ind w:left="440" w:right="140" w:firstLine="421"/>
        <w:spacing w:after="0" w:line="305" w:lineRule="auto"/>
        <w:tabs>
          <w:tab w:leader="none" w:pos="1115"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Delayed Funding Lender acknowledges that the Conforming Lender Groups have relied on the obligation of the Delayed Funding Lender to fund the Delayed Funding Amounts in making Advances hereunder and is an intended beneficiary of such obligation.</w:t>
      </w:r>
    </w:p>
    <w:p>
      <w:pPr>
        <w:spacing w:after="0" w:line="148" w:lineRule="exact"/>
        <w:rPr>
          <w:sz w:val="20"/>
          <w:szCs w:val="20"/>
          <w:color w:val="auto"/>
        </w:rPr>
      </w:pPr>
    </w:p>
    <w:p>
      <w:pPr>
        <w:ind w:right="260" w:firstLine="987"/>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Determination of Yield; Conversions of Advances; Limitations on Fixed LIBOR Advances</w:t>
      </w:r>
      <w:r>
        <w:rPr>
          <w:rFonts w:ascii="Arial" w:cs="Arial" w:eastAsia="Arial" w:hAnsi="Arial"/>
          <w:sz w:val="18"/>
          <w:szCs w:val="18"/>
          <w:color w:val="auto"/>
        </w:rPr>
        <w:t>. (a) The Administrative Agent (and the Lender Agents with respect to the Conduit Lenders in their respective Lender Groups) shall determine the Yield for the Advances (including unpaid Yield related thereto, if any, due and payable on a prior Payment Date) to be paid by the Borrower on each Payment Date for the related Remittance Period and the Administrative Agent shall advise the Servicer and the Lender Agents thereof no later than the Business Day prior to the Reporting Date.</w:t>
      </w:r>
    </w:p>
    <w:p>
      <w:pPr>
        <w:spacing w:after="0" w:line="83" w:lineRule="exact"/>
        <w:rPr>
          <w:sz w:val="20"/>
          <w:szCs w:val="20"/>
          <w:color w:val="auto"/>
        </w:rPr>
      </w:pPr>
    </w:p>
    <w:p>
      <w:pPr>
        <w:ind w:firstLine="989"/>
        <w:spacing w:after="0" w:line="290" w:lineRule="auto"/>
        <w:tabs>
          <w:tab w:leader="none" w:pos="12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Borrower may elect from time to time to convert Fixed LIBOR Advances to Daily LIBOR Advances by giving the Administrative Agent and Lender Agents prior irrevocable notice of such election no later than 2:00 p.m. on the Business Day two Business Days prior to the proposed conversion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conversion of Fixed LIBOR Advances may only be made on the last day of a Fixed Period with respect thereto. The Borrower may elect from time to time to convert Daily LIBOR Advances to Fixed LIBOR Advances by giving the Administrative Agent and the Lender Agents prior irrevocable notice of such election no later than 2:00 p.m. on the second Business Day preceding the proposed conversion date (which notice shall specify the length of the initial Fixed Period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Daily LIBOR Advances may be converted into Fixed LIBOR Advances after the earliest to occur of an Event of Default, an Unmatured Event of Default or the Final Maturity Date.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60" w:top="273" w:right="479" w:bottom="1440" w:gutter="0" w:footer="0" w:header="0"/>
        </w:sectPr>
      </w:pPr>
    </w:p>
    <w:bookmarkStart w:id="135" w:name="page136"/>
    <w:bookmarkEnd w:id="135"/>
    <w:p>
      <w:pPr>
        <w:ind w:firstLine="989"/>
        <w:spacing w:after="0" w:line="253" w:lineRule="auto"/>
        <w:tabs>
          <w:tab w:leader="none" w:pos="123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Any Fixed LIBOR Advance may be continued in whole or in part (including by combining with other Fixed LIBOR Advances that have Fixed Periods expiring on the same date or with Daily LIBOR Advances) upon the expiration of the then current Fixed Period with respect thereto by the Borrower giving prior irrevocable notice to the Administrative Agent and Lender Agents not later than 2:00 p.m. on the date that is two Business Days prior to the last day of the then current Fixed Period setting forth the length of the next Fixed Period to be applicable to such Fixed LIBOR Advance;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Fixed LIBOR Advance may be continued after the earliest to occur of an Event of Default, an Unmatured Event of Default or the Final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Borrower shall fail to give any required notice as described above in this paragraph or if such continuation is not permitted pursuant to the preceding proviso, such Advance shall be automatically converted to a Daily LIBOR Advance on the last day of such then expiring Fixed Period.</w:t>
      </w:r>
    </w:p>
    <w:p>
      <w:pPr>
        <w:spacing w:after="0" w:line="81" w:lineRule="exact"/>
        <w:rPr>
          <w:rFonts w:ascii="Arial" w:cs="Arial" w:eastAsia="Arial" w:hAnsi="Arial"/>
          <w:sz w:val="18"/>
          <w:szCs w:val="18"/>
          <w:color w:val="auto"/>
        </w:rPr>
      </w:pPr>
    </w:p>
    <w:p>
      <w:pPr>
        <w:jc w:val="both"/>
        <w:ind w:right="20" w:firstLine="989"/>
        <w:spacing w:after="0" w:line="258" w:lineRule="auto"/>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all borrowings, conversions and continuations of Fixed LIBOR Advances and all selections of Fixed Periods shall be in such amounts and be made pursuant to such elections so that, (a) after giving effect thereto, the aggregate principal amount of Fixed LIBOR Advances allocated to each Fixed Period shall be equal to $10,000,000 or an integral multiple of $1,000,000 in excess thereof and (b) no more than ten Fixed Periods shall be outstanding at any one time.</w:t>
      </w:r>
    </w:p>
    <w:p>
      <w:pPr>
        <w:spacing w:after="0" w:line="185" w:lineRule="exact"/>
        <w:rPr>
          <w:sz w:val="20"/>
          <w:szCs w:val="20"/>
          <w:color w:val="auto"/>
        </w:rPr>
      </w:pPr>
    </w:p>
    <w:p>
      <w:pPr>
        <w:ind w:right="200" w:firstLine="987"/>
        <w:spacing w:after="0" w:line="300"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Remittance Procedures</w:t>
      </w:r>
      <w:r>
        <w:rPr>
          <w:rFonts w:ascii="Arial" w:cs="Arial" w:eastAsia="Arial" w:hAnsi="Arial"/>
          <w:sz w:val="16"/>
          <w:szCs w:val="16"/>
          <w:color w:val="auto"/>
        </w:rPr>
        <w:t xml:space="preserve">. On each Payment Date, the Servicer, as agent for the Administrative Agent and the Lender Agents, shall instruct the Collateral Agent and, if the Servicer fails to do so, the Administrative Agent may instruct the Collateral Agent, to apply funds on deposit in the Collection Account as described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after delivery of Notice of Exclusive Control, the Administrative Agent shall instruct the Collateral Agent to apply funds on deposit in the Collection Account as described in this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48" w:lineRule="exact"/>
        <w:rPr>
          <w:sz w:val="20"/>
          <w:szCs w:val="20"/>
          <w:color w:val="auto"/>
        </w:rPr>
      </w:pPr>
    </w:p>
    <w:p>
      <w:pPr>
        <w:ind w:right="280" w:firstLine="989"/>
        <w:spacing w:after="0" w:line="300" w:lineRule="auto"/>
        <w:tabs>
          <w:tab w:leader="none" w:pos="123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Interest Payments Prior to the Commitment Termination Date</w:t>
      </w:r>
      <w:r>
        <w:rPr>
          <w:rFonts w:ascii="Arial" w:cs="Arial" w:eastAsia="Arial" w:hAnsi="Arial"/>
          <w:sz w:val="16"/>
          <w:szCs w:val="16"/>
          <w:color w:val="auto"/>
        </w:rPr>
        <w:t xml:space="preserve">. Prior to the occurrence of the Commitment Termination Date, the Collateral Agent shall (as directed pursuant to the first paragraph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transfer Interest Collections held by the Account Bank in the Collection Account, in accordance with the Servicing Report, to the following Persons in the following amounts (and, with respect Foreign Currency Required Reduction Amounts, in the applicable Currency), calculated as of the most recent Determination Date, in the following order and priority:</w:t>
      </w:r>
    </w:p>
    <w:p>
      <w:pPr>
        <w:spacing w:after="0" w:line="47" w:lineRule="exact"/>
        <w:rPr>
          <w:rFonts w:ascii="Arial" w:cs="Arial" w:eastAsia="Arial" w:hAnsi="Arial"/>
          <w:sz w:val="16"/>
          <w:szCs w:val="16"/>
          <w:color w:val="auto"/>
        </w:rPr>
      </w:pPr>
    </w:p>
    <w:p>
      <w:pPr>
        <w:ind w:left="440" w:firstLine="421"/>
        <w:spacing w:after="0" w:line="339" w:lineRule="auto"/>
        <w:tabs>
          <w:tab w:leader="none" w:pos="1075"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Administrative Agent for distribution to the Collateral Agent, the Collateral Custodian, the Backup Servicer and the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Bank, payment in full of all accrued fees and expenses (including Backup Servicer Succession Expenses) due hereunder and under the Fee Letters;</w:t>
      </w:r>
    </w:p>
    <w:p>
      <w:pPr>
        <w:spacing w:after="0" w:line="17" w:lineRule="exact"/>
        <w:rPr>
          <w:rFonts w:ascii="Arial" w:cs="Arial" w:eastAsia="Arial" w:hAnsi="Arial"/>
          <w:sz w:val="16"/>
          <w:szCs w:val="16"/>
          <w:color w:val="auto"/>
        </w:rPr>
      </w:pPr>
    </w:p>
    <w:p>
      <w:pPr>
        <w:ind w:left="1120" w:hanging="259"/>
        <w:spacing w:after="0"/>
        <w:tabs>
          <w:tab w:leader="none" w:pos="112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Servicer, in payment in full of the accrued Senior Servicing Fees;</w:t>
      </w:r>
    </w:p>
    <w:p>
      <w:pPr>
        <w:spacing w:after="0" w:line="115" w:lineRule="exact"/>
        <w:rPr>
          <w:rFonts w:ascii="Arial" w:cs="Arial" w:eastAsia="Arial" w:hAnsi="Arial"/>
          <w:sz w:val="18"/>
          <w:szCs w:val="18"/>
          <w:color w:val="auto"/>
        </w:rPr>
      </w:pPr>
    </w:p>
    <w:p>
      <w:pPr>
        <w:ind w:left="440" w:firstLine="421"/>
        <w:spacing w:after="0" w:line="295" w:lineRule="auto"/>
        <w:tabs>
          <w:tab w:leader="none" w:pos="1174"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(1) if no Default Period is in effect, to the Administrative Agent for distribution to each Lender Agent for the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amounts due under this clause </w:t>
      </w:r>
      <w:r>
        <w:rPr>
          <w:rFonts w:ascii="Arial" w:cs="Arial" w:eastAsia="Arial" w:hAnsi="Arial"/>
          <w:sz w:val="16"/>
          <w:szCs w:val="16"/>
          <w:i w:val="1"/>
          <w:iCs w:val="1"/>
          <w:color w:val="auto"/>
        </w:rPr>
        <w:t>third</w:t>
      </w:r>
      <w:r>
        <w:rPr>
          <w:rFonts w:ascii="Arial" w:cs="Arial" w:eastAsia="Arial" w:hAnsi="Arial"/>
          <w:sz w:val="16"/>
          <w:szCs w:val="16"/>
          <w:color w:val="auto"/>
        </w:rPr>
        <w:t xml:space="preserve">, all Yield accrued and unpaid as of the last day of the related Remittance Period, and (2) if a Default Period is in effect, to the Administrative Agent for distribution to each Lender Agent for the account of the applicable Lender, in accordance with the Adjusted Pro Rata Shares and in accordance with the amounts due under this clause </w:t>
      </w:r>
      <w:r>
        <w:rPr>
          <w:rFonts w:ascii="Arial" w:cs="Arial" w:eastAsia="Arial" w:hAnsi="Arial"/>
          <w:sz w:val="16"/>
          <w:szCs w:val="16"/>
          <w:i w:val="1"/>
          <w:iCs w:val="1"/>
          <w:color w:val="auto"/>
        </w:rPr>
        <w:t>third</w:t>
      </w:r>
      <w:r>
        <w:rPr>
          <w:rFonts w:ascii="Arial" w:cs="Arial" w:eastAsia="Arial" w:hAnsi="Arial"/>
          <w:sz w:val="16"/>
          <w:szCs w:val="16"/>
          <w:color w:val="auto"/>
        </w:rPr>
        <w:t>, all Yield accrued and unpaid as of the last day of the related Remittance Period to Lenders constituting part of a Non-Defaulting Lender Group;</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60" w:top="273" w:right="479" w:bottom="1440" w:gutter="0" w:footer="0" w:header="0"/>
        </w:sectPr>
      </w:pPr>
    </w:p>
    <w:bookmarkStart w:id="136" w:name="page137"/>
    <w:bookmarkEnd w:id="136"/>
    <w:p>
      <w:pPr>
        <w:ind w:right="180" w:firstLine="421"/>
        <w:spacing w:after="0" w:line="262" w:lineRule="auto"/>
        <w:tabs>
          <w:tab w:leader="none" w:pos="724"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fourth</w:t>
      </w:r>
      <w:r>
        <w:rPr>
          <w:rFonts w:ascii="Arial" w:cs="Arial" w:eastAsia="Arial" w:hAnsi="Arial"/>
          <w:sz w:val="18"/>
          <w:szCs w:val="18"/>
          <w:color w:val="auto"/>
        </w:rPr>
        <w:t>, to the Administrative Agent for distribution to each Lender Agent for the account of the applicable Lender (other than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Defaulting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amounts due under this clause </w:t>
      </w:r>
      <w:r>
        <w:rPr>
          <w:rFonts w:ascii="Arial" w:cs="Arial" w:eastAsia="Arial" w:hAnsi="Arial"/>
          <w:sz w:val="18"/>
          <w:szCs w:val="18"/>
          <w:i w:val="1"/>
          <w:iCs w:val="1"/>
          <w:color w:val="auto"/>
        </w:rPr>
        <w:t>fourth</w:t>
      </w:r>
      <w:r>
        <w:rPr>
          <w:rFonts w:ascii="Arial" w:cs="Arial" w:eastAsia="Arial" w:hAnsi="Arial"/>
          <w:sz w:val="18"/>
          <w:szCs w:val="18"/>
          <w:color w:val="auto"/>
        </w:rPr>
        <w:t>, the Undrawn Fee that is accrued and unpaid as of the last day of the related Remittance Period;</w:t>
      </w:r>
    </w:p>
    <w:p>
      <w:pPr>
        <w:spacing w:after="0" w:line="74" w:lineRule="exact"/>
        <w:rPr>
          <w:rFonts w:ascii="Arial" w:cs="Arial" w:eastAsia="Arial" w:hAnsi="Arial"/>
          <w:sz w:val="18"/>
          <w:szCs w:val="18"/>
          <w:color w:val="auto"/>
        </w:rPr>
      </w:pPr>
    </w:p>
    <w:p>
      <w:pPr>
        <w:ind w:right="20" w:firstLine="421"/>
        <w:spacing w:after="0" w:line="262" w:lineRule="auto"/>
        <w:tabs>
          <w:tab w:leader="none" w:pos="674"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if a Default Period is in effect, to the Administrative Agent for distribution to each Lender Agent for the account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respect to each applicable Defaulting Lender, all Yield accrued and unpaid as of the last day of the related Remittance Period to such Defaulting Lenders;</w:t>
      </w:r>
    </w:p>
    <w:p>
      <w:pPr>
        <w:spacing w:after="0" w:line="74" w:lineRule="exact"/>
        <w:rPr>
          <w:rFonts w:ascii="Arial" w:cs="Arial" w:eastAsia="Arial" w:hAnsi="Arial"/>
          <w:sz w:val="18"/>
          <w:szCs w:val="18"/>
          <w:color w:val="auto"/>
        </w:rPr>
      </w:pPr>
    </w:p>
    <w:p>
      <w:pPr>
        <w:ind w:firstLine="421"/>
        <w:spacing w:after="0" w:line="288" w:lineRule="auto"/>
        <w:tabs>
          <w:tab w:leader="none" w:pos="724"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sixth</w:t>
      </w:r>
      <w:r>
        <w:rPr>
          <w:rFonts w:ascii="Arial" w:cs="Arial" w:eastAsia="Arial" w:hAnsi="Arial"/>
          <w:sz w:val="16"/>
          <w:szCs w:val="16"/>
          <w:color w:val="auto"/>
        </w:rPr>
        <w:t>, (1) if no Default Period is in effect, to the Administrative Agent for distribution to each Lender Agent for the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applicable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pay the Advances Outstanding to the extent required to satisfy any outstanding Borrowing Base Deficiency and any Foreign Currency Required Reduction Amounts, and (2) if a Default Period is in effect, to the Administrative Agent (x) first, for distribution to each Lender Agent for the account of the applicable Lender, in accordance with the Adjusted Pro Rata Shares and to pay the Advances Outstanding to the extent required to satisfy any outstanding Borrowing Base Deficiency and any Foreign Currency Required Reduction Amounts, and (y) second, if all Advances Outstanding of all Non-Defaulting Lenders are reduced to zero, to each Lender Agent of a Defaulting Lender Group for the account of the applicable Lender (including any Defaulting Lender), </w:t>
      </w:r>
      <w:r>
        <w:rPr>
          <w:rFonts w:ascii="Arial" w:cs="Arial" w:eastAsia="Arial" w:hAnsi="Arial"/>
          <w:sz w:val="16"/>
          <w:szCs w:val="16"/>
          <w:i w:val="1"/>
          <w:iCs w:val="1"/>
          <w:color w:val="auto"/>
        </w:rPr>
        <w:t>pro rata</w:t>
      </w:r>
      <w:r>
        <w:rPr>
          <w:rFonts w:ascii="Arial" w:cs="Arial" w:eastAsia="Arial" w:hAnsi="Arial"/>
          <w:sz w:val="16"/>
          <w:szCs w:val="16"/>
          <w:color w:val="auto"/>
        </w:rPr>
        <w:t>, to pay the Advances Outstanding to the extent required to satisfy any outstanding Borrowing Base Deficiency and any Foreign Currency Required Reduction Amounts;</w:t>
      </w:r>
    </w:p>
    <w:p>
      <w:pPr>
        <w:spacing w:after="0" w:line="61" w:lineRule="exact"/>
        <w:rPr>
          <w:rFonts w:ascii="Arial" w:cs="Arial" w:eastAsia="Arial" w:hAnsi="Arial"/>
          <w:sz w:val="16"/>
          <w:szCs w:val="16"/>
          <w:color w:val="auto"/>
        </w:rPr>
      </w:pPr>
    </w:p>
    <w:p>
      <w:pPr>
        <w:ind w:right="320" w:firstLine="421"/>
        <w:spacing w:after="0" w:line="262" w:lineRule="auto"/>
        <w:tabs>
          <w:tab w:leader="none" w:pos="774"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to the Administrative Agent for distribution to each Lender Agent for the account of the applicable Lender, all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fees, expenses (including attorneys’ fees, costs and expenses) and indemnity amounts payable by the Borrower to the Administrative Agent, any Lender Agent or any Lender under the Transaction Documents;</w:t>
      </w:r>
    </w:p>
    <w:p>
      <w:pPr>
        <w:spacing w:after="0" w:line="74" w:lineRule="exact"/>
        <w:rPr>
          <w:rFonts w:ascii="Arial" w:cs="Arial" w:eastAsia="Arial" w:hAnsi="Arial"/>
          <w:sz w:val="18"/>
          <w:szCs w:val="18"/>
          <w:color w:val="auto"/>
        </w:rPr>
      </w:pPr>
    </w:p>
    <w:p>
      <w:pPr>
        <w:ind w:right="40" w:firstLine="421"/>
        <w:spacing w:after="0" w:line="275" w:lineRule="auto"/>
        <w:tabs>
          <w:tab w:leader="none" w:pos="824"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eighth</w:t>
      </w:r>
      <w:r>
        <w:rPr>
          <w:rFonts w:ascii="Arial" w:cs="Arial" w:eastAsia="Arial" w:hAnsi="Arial"/>
          <w:sz w:val="18"/>
          <w:szCs w:val="18"/>
          <w:color w:val="auto"/>
        </w:rPr>
        <w:t>, to the Servicer, in payment in full of the accrued Subordinate Servicing Fees (including any unpaid Subordinate Servicing Fees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any prior Remittance Period);</w:t>
      </w:r>
    </w:p>
    <w:p>
      <w:pPr>
        <w:spacing w:after="0" w:line="63" w:lineRule="exact"/>
        <w:rPr>
          <w:rFonts w:ascii="Arial" w:cs="Arial" w:eastAsia="Arial" w:hAnsi="Arial"/>
          <w:sz w:val="18"/>
          <w:szCs w:val="18"/>
          <w:color w:val="auto"/>
        </w:rPr>
      </w:pPr>
    </w:p>
    <w:p>
      <w:pPr>
        <w:ind w:right="180" w:firstLine="421"/>
        <w:spacing w:after="0" w:line="275" w:lineRule="auto"/>
        <w:tabs>
          <w:tab w:leader="none" w:pos="724"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ninth</w:t>
      </w:r>
      <w:r>
        <w:rPr>
          <w:rFonts w:ascii="Arial" w:cs="Arial" w:eastAsia="Arial" w:hAnsi="Arial"/>
          <w:sz w:val="18"/>
          <w:szCs w:val="18"/>
          <w:color w:val="auto"/>
        </w:rPr>
        <w:t>, to the Administrative Agent for the benefit of the Collateral Agent, Collateral Custodian, Backup Servicer and Account Bank in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in full of all accrued expenses or other amounts due to the extent not previously paid;</w:t>
      </w:r>
    </w:p>
    <w:p>
      <w:pPr>
        <w:spacing w:after="0" w:line="63" w:lineRule="exact"/>
        <w:rPr>
          <w:rFonts w:ascii="Arial" w:cs="Arial" w:eastAsia="Arial" w:hAnsi="Arial"/>
          <w:sz w:val="18"/>
          <w:szCs w:val="18"/>
          <w:color w:val="auto"/>
        </w:rPr>
      </w:pPr>
    </w:p>
    <w:p>
      <w:pPr>
        <w:ind w:right="220" w:firstLine="421"/>
        <w:spacing w:after="0" w:line="339" w:lineRule="auto"/>
        <w:tabs>
          <w:tab w:leader="none" w:pos="674"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tenth</w:t>
      </w:r>
      <w:r>
        <w:rPr>
          <w:rFonts w:ascii="Arial" w:cs="Arial" w:eastAsia="Arial" w:hAnsi="Arial"/>
          <w:sz w:val="16"/>
          <w:szCs w:val="16"/>
          <w:color w:val="auto"/>
        </w:rPr>
        <w:t>, to the Administrative Agent for distribution to each Lender Agent for the account of the applicable Lender, to pay the Advances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Outstanding, in connection with any complete or partial refinancing or termination of this Agreement in accordance with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20"/>
          </w:cols>
          <w:pgMar w:left="900" w:top="273" w:right="479" w:bottom="1440" w:gutter="0" w:footer="0" w:header="0"/>
        </w:sectPr>
      </w:pPr>
    </w:p>
    <w:bookmarkStart w:id="137" w:name="page138"/>
    <w:bookmarkEnd w:id="137"/>
    <w:p>
      <w:pPr>
        <w:ind w:left="400" w:firstLine="421"/>
        <w:spacing w:after="0" w:line="262" w:lineRule="auto"/>
        <w:tabs>
          <w:tab w:leader="none" w:pos="1124"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eleventh</w:t>
      </w:r>
      <w:r>
        <w:rPr>
          <w:rFonts w:ascii="Arial" w:cs="Arial" w:eastAsia="Arial" w:hAnsi="Arial"/>
          <w:sz w:val="18"/>
          <w:szCs w:val="18"/>
          <w:color w:val="auto"/>
        </w:rPr>
        <w:t>, to the Administrative Agent for distribution to each Lender Agent for the account of the applicable Lender or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making claim for a payment pursuant to the terms hereof, to pay any other amounts due and payable to such Persons (other than with respect to the repayment of Advances) under this Agreement and the other Transaction Documents;</w:t>
      </w:r>
    </w:p>
    <w:p>
      <w:pPr>
        <w:spacing w:after="0" w:line="74" w:lineRule="exact"/>
        <w:rPr>
          <w:rFonts w:ascii="Arial" w:cs="Arial" w:eastAsia="Arial" w:hAnsi="Arial"/>
          <w:sz w:val="18"/>
          <w:szCs w:val="18"/>
          <w:color w:val="auto"/>
        </w:rPr>
      </w:pPr>
    </w:p>
    <w:p>
      <w:pPr>
        <w:ind w:left="400" w:right="140" w:firstLine="421"/>
        <w:spacing w:after="0" w:line="275" w:lineRule="auto"/>
        <w:tabs>
          <w:tab w:leader="none" w:pos="1174"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twelfth</w:t>
      </w:r>
      <w:r>
        <w:rPr>
          <w:rFonts w:ascii="Arial" w:cs="Arial" w:eastAsia="Arial" w:hAnsi="Arial"/>
          <w:sz w:val="18"/>
          <w:szCs w:val="18"/>
          <w:color w:val="auto"/>
        </w:rPr>
        <w:t>, to the Servicer, in respect of all reasonable expenses (except allocated overhead) incurred in connection with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duties hereunder; and</w:t>
      </w:r>
    </w:p>
    <w:p>
      <w:pPr>
        <w:spacing w:after="0" w:line="63" w:lineRule="exact"/>
        <w:rPr>
          <w:rFonts w:ascii="Arial" w:cs="Arial" w:eastAsia="Arial" w:hAnsi="Arial"/>
          <w:sz w:val="18"/>
          <w:szCs w:val="18"/>
          <w:color w:val="auto"/>
        </w:rPr>
      </w:pPr>
    </w:p>
    <w:p>
      <w:pPr>
        <w:ind w:left="1220" w:hanging="399"/>
        <w:spacing w:after="0"/>
        <w:tabs>
          <w:tab w:leader="none" w:pos="12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thirteenth</w:t>
      </w:r>
      <w:r>
        <w:rPr>
          <w:rFonts w:ascii="Arial" w:cs="Arial" w:eastAsia="Arial" w:hAnsi="Arial"/>
          <w:sz w:val="18"/>
          <w:szCs w:val="18"/>
          <w:color w:val="auto"/>
        </w:rPr>
        <w:t>, to the Borrower, any remaining amounts.</w:t>
      </w:r>
    </w:p>
    <w:p>
      <w:pPr>
        <w:spacing w:after="0" w:line="115" w:lineRule="exact"/>
        <w:rPr>
          <w:rFonts w:ascii="Arial" w:cs="Arial" w:eastAsia="Arial" w:hAnsi="Arial"/>
          <w:sz w:val="18"/>
          <w:szCs w:val="18"/>
          <w:color w:val="auto"/>
        </w:rPr>
      </w:pPr>
    </w:p>
    <w:p>
      <w:pPr>
        <w:ind w:left="-40" w:right="40" w:firstLine="989"/>
        <w:spacing w:after="0" w:line="300" w:lineRule="auto"/>
        <w:tabs>
          <w:tab w:leader="none" w:pos="120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Principal Payments Prior to the Commitment Termination Date</w:t>
      </w:r>
      <w:r>
        <w:rPr>
          <w:rFonts w:ascii="Arial" w:cs="Arial" w:eastAsia="Arial" w:hAnsi="Arial"/>
          <w:sz w:val="16"/>
          <w:szCs w:val="16"/>
          <w:color w:val="auto"/>
        </w:rPr>
        <w:t xml:space="preserve">. Prior to the Commitment Termination Date, the Collateral Agent shall (as directed pursuant to the first paragraph of this </w:t>
      </w:r>
      <w:r>
        <w:rPr>
          <w:rFonts w:ascii="Arial" w:cs="Arial" w:eastAsia="Arial" w:hAnsi="Arial"/>
          <w:sz w:val="16"/>
          <w:szCs w:val="16"/>
          <w:u w:val="single" w:color="auto"/>
          <w:color w:val="auto"/>
        </w:rPr>
        <w:t>Section 2.04</w:t>
      </w:r>
      <w:r>
        <w:rPr>
          <w:rFonts w:ascii="Arial" w:cs="Arial" w:eastAsia="Arial" w:hAnsi="Arial"/>
          <w:sz w:val="16"/>
          <w:szCs w:val="16"/>
          <w:color w:val="auto"/>
        </w:rPr>
        <w:t>) transfer Principal Collections held by the Account Bank in the Collection Account, in accordance with the Servicing Report, to the following Persons in the following amounts (and, with respect Foreign Currency Required Reduction Amounts, in the applicable Currency), calculated as of the most recent Determination Date, in the following order and priority:</w:t>
      </w:r>
    </w:p>
    <w:p>
      <w:pPr>
        <w:spacing w:after="0" w:line="48" w:lineRule="exact"/>
        <w:rPr>
          <w:sz w:val="20"/>
          <w:szCs w:val="20"/>
          <w:color w:val="auto"/>
        </w:rPr>
      </w:pPr>
    </w:p>
    <w:p>
      <w:pPr>
        <w:ind w:left="400" w:right="100" w:firstLine="421"/>
        <w:spacing w:after="0" w:line="275" w:lineRule="auto"/>
        <w:tabs>
          <w:tab w:leader="none" w:pos="10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Administrative Agent for distribution to the appropriate Person to pay amounts due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2.04(a)(i)</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thereunder;</w:t>
      </w:r>
    </w:p>
    <w:p>
      <w:pPr>
        <w:spacing w:after="0" w:line="63" w:lineRule="exact"/>
        <w:rPr>
          <w:rFonts w:ascii="Arial" w:cs="Arial" w:eastAsia="Arial" w:hAnsi="Arial"/>
          <w:sz w:val="18"/>
          <w:szCs w:val="18"/>
          <w:color w:val="auto"/>
        </w:rPr>
      </w:pPr>
    </w:p>
    <w:p>
      <w:pPr>
        <w:ind w:left="400" w:right="460" w:firstLine="421"/>
        <w:spacing w:after="0" w:line="275" w:lineRule="auto"/>
        <w:tabs>
          <w:tab w:leader="none" w:pos="108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Servicer, in payment in full of the accrued Senior Servicing Fees due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2.04(a)(ii)</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 paid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63" w:lineRule="exact"/>
        <w:rPr>
          <w:rFonts w:ascii="Arial" w:cs="Arial" w:eastAsia="Arial" w:hAnsi="Arial"/>
          <w:sz w:val="18"/>
          <w:szCs w:val="18"/>
          <w:color w:val="auto"/>
        </w:rPr>
      </w:pPr>
    </w:p>
    <w:p>
      <w:pPr>
        <w:ind w:left="400" w:right="240" w:firstLine="421"/>
        <w:spacing w:after="0" w:line="262" w:lineRule="auto"/>
        <w:tabs>
          <w:tab w:leader="none" w:pos="113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Administrative Agent for distribution to each Lender Agent for the account of the applicable Lender to pay amounts due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2.04(a)(iii)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(including, without limitation, any Borrowing Base Deficiency and any Foreign Currency Required Reduction Amounts under </w:t>
      </w:r>
      <w:r>
        <w:rPr>
          <w:rFonts w:ascii="Arial" w:cs="Arial" w:eastAsia="Arial" w:hAnsi="Arial"/>
          <w:sz w:val="18"/>
          <w:szCs w:val="18"/>
          <w:u w:val="single" w:color="auto"/>
          <w:color w:val="auto"/>
        </w:rPr>
        <w:t>clause (vi)</w:t>
      </w:r>
      <w:r>
        <w:rPr>
          <w:rFonts w:ascii="Arial" w:cs="Arial" w:eastAsia="Arial" w:hAnsi="Arial"/>
          <w:sz w:val="18"/>
          <w:szCs w:val="18"/>
          <w:color w:val="auto"/>
        </w:rPr>
        <w:t>) to the extent not paid thereunder;</w:t>
      </w:r>
    </w:p>
    <w:p>
      <w:pPr>
        <w:spacing w:after="0" w:line="74" w:lineRule="exact"/>
        <w:rPr>
          <w:rFonts w:ascii="Arial" w:cs="Arial" w:eastAsia="Arial" w:hAnsi="Arial"/>
          <w:sz w:val="18"/>
          <w:szCs w:val="18"/>
          <w:color w:val="auto"/>
        </w:rPr>
      </w:pPr>
    </w:p>
    <w:p>
      <w:pPr>
        <w:ind w:left="400" w:right="200" w:firstLine="421"/>
        <w:spacing w:after="0" w:line="262" w:lineRule="auto"/>
        <w:tabs>
          <w:tab w:leader="none" w:pos="112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Administrative Agent for distribution to the Collateral Agent, the Collateral Custodian, the Backup Servicer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Bank, payment in full of all accrued fees and expenses (including Backup Servicer Succession Expenses) due hereunder and under the Fee Letters to the extent not previously paid;</w:t>
      </w:r>
    </w:p>
    <w:p>
      <w:pPr>
        <w:spacing w:after="0" w:line="74" w:lineRule="exact"/>
        <w:rPr>
          <w:rFonts w:ascii="Arial" w:cs="Arial" w:eastAsia="Arial" w:hAnsi="Arial"/>
          <w:sz w:val="18"/>
          <w:szCs w:val="18"/>
          <w:color w:val="auto"/>
        </w:rPr>
      </w:pPr>
    </w:p>
    <w:p>
      <w:pPr>
        <w:ind w:left="400" w:right="220" w:firstLine="421"/>
        <w:spacing w:after="0" w:line="339" w:lineRule="auto"/>
        <w:tabs>
          <w:tab w:leader="none" w:pos="1074"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fifth</w:t>
      </w:r>
      <w:r>
        <w:rPr>
          <w:rFonts w:ascii="Arial" w:cs="Arial" w:eastAsia="Arial" w:hAnsi="Arial"/>
          <w:sz w:val="16"/>
          <w:szCs w:val="16"/>
          <w:color w:val="auto"/>
        </w:rPr>
        <w:t>, to the Administrative Agent and each Lender Agent (for the account of the applicable Lender) to pay any other amounts due and</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to such Persons (other than with respect to the repayment of Advances) under this Agreement and the other Transaction Documents;</w:t>
      </w:r>
    </w:p>
    <w:p>
      <w:pPr>
        <w:spacing w:after="0" w:line="17" w:lineRule="exact"/>
        <w:rPr>
          <w:rFonts w:ascii="Arial" w:cs="Arial" w:eastAsia="Arial" w:hAnsi="Arial"/>
          <w:sz w:val="16"/>
          <w:szCs w:val="16"/>
          <w:color w:val="auto"/>
        </w:rPr>
      </w:pPr>
    </w:p>
    <w:p>
      <w:pPr>
        <w:ind w:left="1120" w:hanging="299"/>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Account Bank for deposit in the URCA Account, an amount equal to the URCA Shortfall Amount;</w:t>
      </w:r>
    </w:p>
    <w:p>
      <w:pPr>
        <w:spacing w:after="0" w:line="115" w:lineRule="exact"/>
        <w:rPr>
          <w:rFonts w:ascii="Arial" w:cs="Arial" w:eastAsia="Arial" w:hAnsi="Arial"/>
          <w:sz w:val="18"/>
          <w:szCs w:val="18"/>
          <w:color w:val="auto"/>
        </w:rPr>
      </w:pPr>
    </w:p>
    <w:p>
      <w:pPr>
        <w:ind w:left="400" w:right="280" w:firstLine="421"/>
        <w:spacing w:after="0" w:line="275" w:lineRule="auto"/>
        <w:tabs>
          <w:tab w:leader="none" w:pos="117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to the Servicer, in payment in full of the accrued Subordinate Servicing Fees due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2.04(a)(ii)</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thereunder;</w:t>
      </w:r>
    </w:p>
    <w:p>
      <w:pPr>
        <w:spacing w:after="0" w:line="63" w:lineRule="exact"/>
        <w:rPr>
          <w:rFonts w:ascii="Arial" w:cs="Arial" w:eastAsia="Arial" w:hAnsi="Arial"/>
          <w:sz w:val="18"/>
          <w:szCs w:val="18"/>
          <w:color w:val="auto"/>
        </w:rPr>
      </w:pPr>
    </w:p>
    <w:p>
      <w:pPr>
        <w:ind w:left="400" w:right="120" w:firstLine="421"/>
        <w:spacing w:after="0" w:line="275" w:lineRule="auto"/>
        <w:tabs>
          <w:tab w:leader="none" w:pos="1224"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eighth</w:t>
      </w:r>
      <w:r>
        <w:rPr>
          <w:rFonts w:ascii="Arial" w:cs="Arial" w:eastAsia="Arial" w:hAnsi="Arial"/>
          <w:sz w:val="18"/>
          <w:szCs w:val="18"/>
          <w:color w:val="auto"/>
        </w:rPr>
        <w:t>, to the Servicer, in respect of all reasonable expenses (except allocated overhead) incurred in connection with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duties hereunder;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80"/>
          </w:cols>
          <w:pgMar w:left="500" w:top="273" w:right="519" w:bottom="1440" w:gutter="0" w:footer="0" w:header="0"/>
        </w:sectPr>
      </w:pPr>
    </w:p>
    <w:bookmarkStart w:id="138" w:name="page139"/>
    <w:bookmarkEnd w:id="138"/>
    <w:p>
      <w:pPr>
        <w:ind w:left="1140" w:hanging="299"/>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ninth</w:t>
      </w:r>
      <w:r>
        <w:rPr>
          <w:rFonts w:ascii="Arial" w:cs="Arial" w:eastAsia="Arial" w:hAnsi="Arial"/>
          <w:sz w:val="18"/>
          <w:szCs w:val="18"/>
          <w:color w:val="auto"/>
        </w:rPr>
        <w:t>, to the Borrower, any remaining amounts.</w:t>
      </w:r>
    </w:p>
    <w:p>
      <w:pPr>
        <w:spacing w:after="0" w:line="115" w:lineRule="exact"/>
        <w:rPr>
          <w:rFonts w:ascii="Arial" w:cs="Arial" w:eastAsia="Arial" w:hAnsi="Arial"/>
          <w:sz w:val="18"/>
          <w:szCs w:val="18"/>
          <w:color w:val="auto"/>
        </w:rPr>
      </w:pPr>
    </w:p>
    <w:p>
      <w:pPr>
        <w:ind w:left="-20" w:right="60" w:firstLine="989"/>
        <w:spacing w:after="0" w:line="255" w:lineRule="auto"/>
        <w:tabs>
          <w:tab w:leader="none" w:pos="121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Payment Date Transfers Upon the Occurrence of the Commitment Termination Date</w:t>
      </w:r>
      <w:r>
        <w:rPr>
          <w:rFonts w:ascii="Arial" w:cs="Arial" w:eastAsia="Arial" w:hAnsi="Arial"/>
          <w:sz w:val="18"/>
          <w:szCs w:val="18"/>
          <w:color w:val="auto"/>
        </w:rPr>
        <w:t xml:space="preserve">. Upon the occurrence of the Commitment Termination Date or, in any case, after the declaration, or automatic occurrence, of the Final Maturity Date, the Collateral Agent shall (as directed pursuant to the first paragraph of this </w:t>
      </w:r>
      <w:r>
        <w:rPr>
          <w:rFonts w:ascii="Arial" w:cs="Arial" w:eastAsia="Arial" w:hAnsi="Arial"/>
          <w:sz w:val="18"/>
          <w:szCs w:val="18"/>
          <w:u w:val="single" w:color="auto"/>
          <w:color w:val="auto"/>
        </w:rPr>
        <w:t>Section 2.04</w:t>
      </w:r>
      <w:r>
        <w:rPr>
          <w:rFonts w:ascii="Arial" w:cs="Arial" w:eastAsia="Arial" w:hAnsi="Arial"/>
          <w:sz w:val="18"/>
          <w:szCs w:val="18"/>
          <w:color w:val="auto"/>
        </w:rPr>
        <w:t>) transfer collected funds held by the Account Bank in the Collection Account, in accordance with the Servicing Report, to the following Persons in the following amounts, calculated as of the most recent Determination Date, in the following order and priority:</w:t>
      </w:r>
    </w:p>
    <w:p>
      <w:pPr>
        <w:spacing w:after="0" w:line="83" w:lineRule="exact"/>
        <w:rPr>
          <w:sz w:val="20"/>
          <w:szCs w:val="20"/>
          <w:color w:val="auto"/>
        </w:rPr>
      </w:pPr>
    </w:p>
    <w:p>
      <w:pPr>
        <w:ind w:left="420" w:right="100" w:firstLine="421"/>
        <w:spacing w:after="0" w:line="262" w:lineRule="auto"/>
        <w:tabs>
          <w:tab w:leader="none" w:pos="1055"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Administrative Agent for distribution to the Collateral Agent, the Collateral Custodian, the Backup Servicer and the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Bank, payment in full of all accrued fees and expenses (including Backup Servicer Succession Expenses and Collateral Agent Expenses) due hereunder, and amounts due under the Fee Letters;</w:t>
      </w:r>
    </w:p>
    <w:p>
      <w:pPr>
        <w:spacing w:after="0" w:line="74" w:lineRule="exact"/>
        <w:rPr>
          <w:rFonts w:ascii="Arial" w:cs="Arial" w:eastAsia="Arial" w:hAnsi="Arial"/>
          <w:sz w:val="18"/>
          <w:szCs w:val="18"/>
          <w:color w:val="auto"/>
        </w:rPr>
      </w:pPr>
    </w:p>
    <w:p>
      <w:pPr>
        <w:ind w:left="1100" w:hanging="259"/>
        <w:spacing w:after="0"/>
        <w:tabs>
          <w:tab w:leader="none" w:pos="110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Servicer, in payment in full of the accrued Senior Servicing Fees;</w:t>
      </w:r>
    </w:p>
    <w:p>
      <w:pPr>
        <w:spacing w:after="0" w:line="115" w:lineRule="exact"/>
        <w:rPr>
          <w:rFonts w:ascii="Arial" w:cs="Arial" w:eastAsia="Arial" w:hAnsi="Arial"/>
          <w:sz w:val="18"/>
          <w:szCs w:val="18"/>
          <w:color w:val="auto"/>
        </w:rPr>
      </w:pPr>
    </w:p>
    <w:p>
      <w:pPr>
        <w:ind w:left="1160" w:hanging="31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Administrative Agent for distribution to each Lender Agent for the account of the applicable Lender,</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in</w:t>
      </w:r>
    </w:p>
    <w:p>
      <w:pPr>
        <w:spacing w:after="0" w:line="22" w:lineRule="exact"/>
        <w:rPr>
          <w:rFonts w:ascii="Arial" w:cs="Arial" w:eastAsia="Arial" w:hAnsi="Arial"/>
          <w:sz w:val="18"/>
          <w:szCs w:val="18"/>
          <w:color w:val="auto"/>
        </w:rPr>
      </w:pPr>
    </w:p>
    <w:p>
      <w:pPr>
        <w:ind w:left="420" w:right="60"/>
        <w:spacing w:after="0" w:line="258" w:lineRule="auto"/>
        <w:rPr>
          <w:rFonts w:ascii="Arial" w:cs="Arial" w:eastAsia="Arial" w:hAnsi="Arial"/>
          <w:sz w:val="18"/>
          <w:szCs w:val="18"/>
          <w:color w:val="auto"/>
        </w:rPr>
      </w:pPr>
      <w:r>
        <w:rPr>
          <w:rFonts w:ascii="Arial" w:cs="Arial" w:eastAsia="Arial" w:hAnsi="Arial"/>
          <w:sz w:val="18"/>
          <w:szCs w:val="18"/>
          <w:color w:val="auto"/>
        </w:rPr>
        <w:t>accordance with the amounts due under this clause, all Yield and the Undrawn Fee accrued and unpaid as of the last day of the related Remittance Period;</w:t>
      </w:r>
    </w:p>
    <w:p>
      <w:pPr>
        <w:spacing w:after="0" w:line="77" w:lineRule="exact"/>
        <w:rPr>
          <w:rFonts w:ascii="Arial" w:cs="Arial" w:eastAsia="Arial" w:hAnsi="Arial"/>
          <w:sz w:val="18"/>
          <w:szCs w:val="18"/>
          <w:color w:val="auto"/>
        </w:rPr>
      </w:pPr>
    </w:p>
    <w:p>
      <w:pPr>
        <w:jc w:val="both"/>
        <w:ind w:left="420" w:right="480" w:firstLine="421"/>
        <w:spacing w:after="0" w:line="262" w:lineRule="auto"/>
        <w:tabs>
          <w:tab w:leader="none" w:pos="1144"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Administrative Agent for distribution to each Lender Agent for the account of the applicable Lender, all accrued and</w:t>
      </w:r>
      <w:r>
        <w:rPr>
          <w:rFonts w:ascii="Arial" w:cs="Arial" w:eastAsia="Arial" w:hAnsi="Arial"/>
          <w:sz w:val="18"/>
          <w:szCs w:val="18"/>
          <w:i w:val="1"/>
          <w:iCs w:val="1"/>
          <w:color w:val="auto"/>
        </w:rPr>
        <w:t xml:space="preserve"> </w:t>
      </w:r>
      <w:r>
        <w:rPr>
          <w:rFonts w:ascii="Arial" w:cs="Arial" w:eastAsia="Arial" w:hAnsi="Arial"/>
          <w:sz w:val="18"/>
          <w:szCs w:val="18"/>
          <w:color w:val="auto"/>
        </w:rPr>
        <w:t>unpaid fees, expenses (including attorneys’ fees, costs and expenses) and indemnity amounts payable by the Borrower to the Administrative Agent, any Lender Agent or any Lender under the Transaction Documents;</w:t>
      </w:r>
    </w:p>
    <w:p>
      <w:pPr>
        <w:spacing w:after="0" w:line="74" w:lineRule="exact"/>
        <w:rPr>
          <w:rFonts w:ascii="Arial" w:cs="Arial" w:eastAsia="Arial" w:hAnsi="Arial"/>
          <w:sz w:val="18"/>
          <w:szCs w:val="18"/>
          <w:color w:val="auto"/>
        </w:rPr>
      </w:pPr>
    </w:p>
    <w:p>
      <w:pPr>
        <w:ind w:left="420" w:firstLine="421"/>
        <w:spacing w:after="0" w:line="275" w:lineRule="auto"/>
        <w:tabs>
          <w:tab w:leader="none" w:pos="1094"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during the Amortization Period (and solely to the extent of Revolving Loan Principal Collections actually received in the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to the Agent Bank for deposit in the URCA Account, an amount equal to the URCA Shortfall Amount;</w:t>
      </w:r>
    </w:p>
    <w:p>
      <w:pPr>
        <w:spacing w:after="0" w:line="63" w:lineRule="exact"/>
        <w:rPr>
          <w:rFonts w:ascii="Arial" w:cs="Arial" w:eastAsia="Arial" w:hAnsi="Arial"/>
          <w:sz w:val="18"/>
          <w:szCs w:val="18"/>
          <w:color w:val="auto"/>
        </w:rPr>
      </w:pPr>
    </w:p>
    <w:p>
      <w:pPr>
        <w:ind w:left="420" w:right="280" w:firstLine="421"/>
        <w:spacing w:after="0" w:line="275" w:lineRule="auto"/>
        <w:tabs>
          <w:tab w:leader="none" w:pos="1144"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sixth</w:t>
      </w:r>
      <w:r>
        <w:rPr>
          <w:rFonts w:ascii="Arial" w:cs="Arial" w:eastAsia="Arial" w:hAnsi="Arial"/>
          <w:sz w:val="18"/>
          <w:szCs w:val="18"/>
          <w:color w:val="auto"/>
        </w:rPr>
        <w:t>, to the Administrative Agent for distribution to each Lender Agent for the account of the applicable Lender,</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to pay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Outstanding until paid in full;</w:t>
      </w:r>
    </w:p>
    <w:p>
      <w:pPr>
        <w:spacing w:after="0" w:line="63" w:lineRule="exact"/>
        <w:rPr>
          <w:rFonts w:ascii="Arial" w:cs="Arial" w:eastAsia="Arial" w:hAnsi="Arial"/>
          <w:sz w:val="18"/>
          <w:szCs w:val="18"/>
          <w:color w:val="auto"/>
        </w:rPr>
      </w:pPr>
    </w:p>
    <w:p>
      <w:pPr>
        <w:ind w:left="420" w:right="140" w:firstLine="421"/>
        <w:spacing w:after="0" w:line="275" w:lineRule="auto"/>
        <w:tabs>
          <w:tab w:leader="none" w:pos="1194"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seventh</w:t>
      </w:r>
      <w:r>
        <w:rPr>
          <w:rFonts w:ascii="Arial" w:cs="Arial" w:eastAsia="Arial" w:hAnsi="Arial"/>
          <w:sz w:val="18"/>
          <w:szCs w:val="18"/>
          <w:color w:val="auto"/>
        </w:rPr>
        <w:t>, to the Administrative Agent for the benefit of the Collateral Agent, Collateral Custodian, Backup Servicer and Account Bank</w:t>
      </w:r>
      <w:r>
        <w:rPr>
          <w:rFonts w:ascii="Arial" w:cs="Arial" w:eastAsia="Arial" w:hAnsi="Arial"/>
          <w:sz w:val="18"/>
          <w:szCs w:val="18"/>
          <w:i w:val="1"/>
          <w:iCs w:val="1"/>
          <w:color w:val="auto"/>
        </w:rPr>
        <w:t xml:space="preserve"> </w:t>
      </w:r>
      <w:r>
        <w:rPr>
          <w:rFonts w:ascii="Arial" w:cs="Arial" w:eastAsia="Arial" w:hAnsi="Arial"/>
          <w:sz w:val="18"/>
          <w:szCs w:val="18"/>
          <w:color w:val="auto"/>
        </w:rPr>
        <w:t>in payment in full of all accrued expenses or other amounts due to the extent not previously paid;</w:t>
      </w:r>
    </w:p>
    <w:p>
      <w:pPr>
        <w:spacing w:after="0" w:line="63" w:lineRule="exact"/>
        <w:rPr>
          <w:rFonts w:ascii="Arial" w:cs="Arial" w:eastAsia="Arial" w:hAnsi="Arial"/>
          <w:sz w:val="18"/>
          <w:szCs w:val="18"/>
          <w:color w:val="auto"/>
        </w:rPr>
      </w:pPr>
    </w:p>
    <w:p>
      <w:pPr>
        <w:ind w:left="420" w:right="140" w:firstLine="421"/>
        <w:spacing w:after="0" w:line="339" w:lineRule="auto"/>
        <w:tabs>
          <w:tab w:leader="none" w:pos="1244"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eighth</w:t>
      </w:r>
      <w:r>
        <w:rPr>
          <w:rFonts w:ascii="Arial" w:cs="Arial" w:eastAsia="Arial" w:hAnsi="Arial"/>
          <w:sz w:val="16"/>
          <w:szCs w:val="16"/>
          <w:color w:val="auto"/>
        </w:rPr>
        <w:t>, to the Administrative Agent and each Lender Agent (for the account of the applicable Lender) to pay any other amounts due</w:t>
      </w:r>
      <w:r>
        <w:rPr>
          <w:rFonts w:ascii="Arial" w:cs="Arial" w:eastAsia="Arial" w:hAnsi="Arial"/>
          <w:sz w:val="16"/>
          <w:szCs w:val="16"/>
          <w:i w:val="1"/>
          <w:iCs w:val="1"/>
          <w:color w:val="auto"/>
        </w:rPr>
        <w:t xml:space="preserve"> </w:t>
      </w:r>
      <w:r>
        <w:rPr>
          <w:rFonts w:ascii="Arial" w:cs="Arial" w:eastAsia="Arial" w:hAnsi="Arial"/>
          <w:sz w:val="16"/>
          <w:szCs w:val="16"/>
          <w:color w:val="auto"/>
        </w:rPr>
        <w:t>and payable to such Persons (other than with respect to the repayment of Advances) under this Agreement and the other Transaction Documents;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480" w:top="273" w:right="479" w:bottom="1440" w:gutter="0" w:footer="0" w:header="0"/>
        </w:sectPr>
      </w:pPr>
    </w:p>
    <w:bookmarkStart w:id="139" w:name="page140"/>
    <w:bookmarkEnd w:id="139"/>
    <w:p>
      <w:pPr>
        <w:ind w:left="440" w:right="360" w:firstLine="421"/>
        <w:spacing w:after="0" w:line="275" w:lineRule="auto"/>
        <w:tabs>
          <w:tab w:leader="none" w:pos="1164"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ninth</w:t>
      </w:r>
      <w:r>
        <w:rPr>
          <w:rFonts w:ascii="Arial" w:cs="Arial" w:eastAsia="Arial" w:hAnsi="Arial"/>
          <w:sz w:val="18"/>
          <w:szCs w:val="18"/>
          <w:color w:val="auto"/>
        </w:rPr>
        <w:t>, to the Servicer, in payment of the accrued Subordinate Servicing Fee and all reasonable expenses (except allocated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in connection with the performance of its duties hereunder; and</w:t>
      </w:r>
    </w:p>
    <w:p>
      <w:pPr>
        <w:spacing w:after="0" w:line="63" w:lineRule="exact"/>
        <w:rPr>
          <w:rFonts w:ascii="Arial" w:cs="Arial" w:eastAsia="Arial" w:hAnsi="Arial"/>
          <w:sz w:val="18"/>
          <w:szCs w:val="18"/>
          <w:color w:val="auto"/>
        </w:rPr>
      </w:pPr>
    </w:p>
    <w:p>
      <w:pPr>
        <w:ind w:left="1120" w:hanging="259"/>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tenth</w:t>
      </w:r>
      <w:r>
        <w:rPr>
          <w:rFonts w:ascii="Arial" w:cs="Arial" w:eastAsia="Arial" w:hAnsi="Arial"/>
          <w:sz w:val="18"/>
          <w:szCs w:val="18"/>
          <w:color w:val="auto"/>
        </w:rPr>
        <w:t>, to the Borrower, any remaining amounts.</w:t>
      </w:r>
    </w:p>
    <w:p>
      <w:pPr>
        <w:spacing w:after="0" w:line="115" w:lineRule="exact"/>
        <w:rPr>
          <w:rFonts w:ascii="Arial" w:cs="Arial" w:eastAsia="Arial" w:hAnsi="Arial"/>
          <w:sz w:val="18"/>
          <w:szCs w:val="18"/>
          <w:color w:val="auto"/>
        </w:rPr>
      </w:pPr>
    </w:p>
    <w:p>
      <w:pPr>
        <w:ind w:right="120" w:firstLine="989"/>
        <w:spacing w:after="0" w:line="277" w:lineRule="auto"/>
        <w:tabs>
          <w:tab w:leader="none" w:pos="1240" w:val="left"/>
        </w:tabs>
        <w:numPr>
          <w:ilvl w:val="1"/>
          <w:numId w:val="97"/>
        </w:numPr>
        <w:rPr>
          <w:rFonts w:ascii="Arial" w:cs="Arial" w:eastAsia="Arial" w:hAnsi="Arial"/>
          <w:sz w:val="17"/>
          <w:szCs w:val="17"/>
          <w:color w:val="auto"/>
        </w:rPr>
      </w:pPr>
      <w:r>
        <w:rPr>
          <w:rFonts w:ascii="Arial" w:cs="Arial" w:eastAsia="Arial" w:hAnsi="Arial"/>
          <w:sz w:val="17"/>
          <w:szCs w:val="17"/>
          <w:u w:val="single" w:color="auto"/>
          <w:color w:val="auto"/>
        </w:rPr>
        <w:t>Insufficiency of Funds</w:t>
      </w:r>
      <w:r>
        <w:rPr>
          <w:rFonts w:ascii="Arial" w:cs="Arial" w:eastAsia="Arial" w:hAnsi="Arial"/>
          <w:sz w:val="17"/>
          <w:szCs w:val="17"/>
          <w:color w:val="auto"/>
        </w:rPr>
        <w:t xml:space="preserve">. The parties hereby agree that if the funds on deposit in the Collection Account are insufficient to pay any amounts due and payable on a Payment Date or otherwise, the Borrower shall nevertheless remain responsible for, and shall pay when due, all amounts payable under this Agreement and the other Transaction Documents in accordance with the terms of this Agreement and the other Transaction Documents, together with interest accrued as set forth in </w:t>
      </w:r>
      <w:r>
        <w:rPr>
          <w:rFonts w:ascii="Arial" w:cs="Arial" w:eastAsia="Arial" w:hAnsi="Arial"/>
          <w:sz w:val="17"/>
          <w:szCs w:val="17"/>
          <w:u w:val="single" w:color="auto"/>
          <w:color w:val="auto"/>
        </w:rPr>
        <w:t>Section 2.08(a)</w:t>
      </w:r>
      <w:r>
        <w:rPr>
          <w:rFonts w:ascii="Arial" w:cs="Arial" w:eastAsia="Arial" w:hAnsi="Arial"/>
          <w:sz w:val="17"/>
          <w:szCs w:val="17"/>
          <w:color w:val="auto"/>
        </w:rPr>
        <w:t>, from the Payment Date when due and unpaid hereunder.</w:t>
      </w:r>
    </w:p>
    <w:p>
      <w:pPr>
        <w:spacing w:after="0" w:line="172"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u w:val="single" w:color="auto"/>
          <w:color w:val="auto"/>
        </w:rPr>
        <w:t>Instructions to the Collateral Agent and the Account Bank</w:t>
      </w:r>
      <w:r>
        <w:rPr>
          <w:rFonts w:ascii="Arial" w:cs="Arial" w:eastAsia="Arial" w:hAnsi="Arial"/>
          <w:sz w:val="16"/>
          <w:szCs w:val="16"/>
          <w:color w:val="auto"/>
        </w:rPr>
        <w:t xml:space="preserve">. All instructions and directions given to the Collateral Agent or the Account Bank by the Servicer, the Borrower or the Administrative Agent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be in writing (including instructions and directions transmitted to the Collateral Agent or the Account Bank by telecopy or e-mail), and such written instructions and directions shall be delivered with a written certification that such instructions and directions are in compliance with the provisions of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Servicer and the Borrower shall transmit to the Administrative Agent by telecopy or e-mail a copy of all instructions and directions given to the Collateral Agent or the Account Bank by such party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substantially currently with the delivery thereof. The Administrative Agent shall transmit to the Servicer and the Borrower by telecopy or e-mail a copy of all instructions and directions given to the Collateral Agent or the Account Bank by the Administrative Agent,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substantially currently with the delivery thereof. If either the Administrative Agent or Collateral Agent disagrees with the computation of any amounts to be paid or deposited by the Borrower or the Servicer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or otherwise pursuant to this Agreement, or upon their respective instructions, it shall so notify the Borrower, the Servicer and the Collateral Agent in writing and in reasonable detail to identify the specific disagreement. If such disagreement cannot be resolved within two Business Days, the determination of the Administrative Agent as to such amounts shall be conclusive and binding on the parties hereto absent manifest error. In the event the Collateral Agent or the Account Bank receives instructions from the Servicer or the Borrower which conflict with any instructions received by the Administrative Agent, the Collateral Agent or the Account Bank, as applicable, shall rely on and follow the instructions given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or the Account Bank, as applicable shall utilize all reasonable efforts to provide prompt notice thereafter to the Administrative Agent, the Servicer the Borrower, and the Collateral Agent or the Account Bank, as applicable, of its receipt of conflicting instructions;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failure to provide such notice hereunder shall not result in any liability for the Collateral Agent or the Account Bank.</w:t>
      </w:r>
    </w:p>
    <w:p>
      <w:pPr>
        <w:spacing w:after="0" w:line="169" w:lineRule="exact"/>
        <w:rPr>
          <w:sz w:val="20"/>
          <w:szCs w:val="20"/>
          <w:color w:val="auto"/>
        </w:rPr>
      </w:pPr>
    </w:p>
    <w:p>
      <w:pPr>
        <w:ind w:right="140" w:firstLine="987"/>
        <w:spacing w:after="0" w:line="300"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Borrowing Base Deficiency Payments and Foreign Currency Required Reduction Amounts</w:t>
      </w:r>
      <w:r>
        <w:rPr>
          <w:rFonts w:ascii="Arial" w:cs="Arial" w:eastAsia="Arial" w:hAnsi="Arial"/>
          <w:sz w:val="16"/>
          <w:szCs w:val="16"/>
          <w:color w:val="auto"/>
        </w:rPr>
        <w:t>. (a) In addition to any other obligation of the Borrower to cure any Borrowing Base Deficiency pursuant to the terms of this Agreement, if, on any day prior to the Collection Date, any Borrowing Base Deficiency exists, then the Borrower may eliminate such Borrowing Base Deficiency in its entirety by effecting one or more (or any combination thereof) of the following actions in order to eliminate such Borrowing Base Deficiency as of such date of</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60" w:top="273" w:right="479" w:bottom="1440" w:gutter="0" w:footer="0" w:header="0"/>
        </w:sectPr>
      </w:pPr>
    </w:p>
    <w:bookmarkStart w:id="140" w:name="page141"/>
    <w:bookmarkEnd w:id="140"/>
    <w:p>
      <w:pPr>
        <w:ind w:right="1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determination: (i) deposit cash in Dollars into the Principal Collection Account, (ii) repay Advances (together with any Breakage Fees and all accrued and unpaid costs and expenses of the Administrative Agent, the Lender Agents and the Lenders, in each case in respect of the amount so prepaid),</w:t>
      </w:r>
    </w:p>
    <w:p>
      <w:pPr>
        <w:spacing w:after="0" w:line="1" w:lineRule="exact"/>
        <w:rPr>
          <w:sz w:val="20"/>
          <w:szCs w:val="20"/>
          <w:color w:val="auto"/>
        </w:rPr>
      </w:pPr>
    </w:p>
    <w:p>
      <w:pPr>
        <w:ind w:right="160" w:firstLine="2"/>
        <w:spacing w:after="0" w:line="253" w:lineRule="auto"/>
        <w:tabs>
          <w:tab w:leader="none" w:pos="3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sell Eligible Loan Assets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 or (iv) subject to the approval of the Administrative Agent in its sole discretion, Pledge additional Eligible Loan Assets. The Administrative Agent shall use all commercially reasonable efforts to respond to any such approval request in a timely manner.</w:t>
      </w:r>
    </w:p>
    <w:p>
      <w:pPr>
        <w:spacing w:after="0" w:line="83" w:lineRule="exact"/>
        <w:rPr>
          <w:rFonts w:ascii="Arial" w:cs="Arial" w:eastAsia="Arial" w:hAnsi="Arial"/>
          <w:sz w:val="18"/>
          <w:szCs w:val="18"/>
          <w:color w:val="auto"/>
        </w:rPr>
      </w:pPr>
    </w:p>
    <w:p>
      <w:pPr>
        <w:ind w:firstLine="989"/>
        <w:spacing w:after="0" w:line="268" w:lineRule="auto"/>
        <w:tabs>
          <w:tab w:leader="none" w:pos="1240" w:val="left"/>
        </w:tabs>
        <w:numPr>
          <w:ilvl w:val="1"/>
          <w:numId w:val="98"/>
        </w:numPr>
        <w:rPr>
          <w:rFonts w:ascii="Arial" w:cs="Arial" w:eastAsia="Arial" w:hAnsi="Arial"/>
          <w:sz w:val="17"/>
          <w:szCs w:val="17"/>
          <w:color w:val="auto"/>
        </w:rPr>
      </w:pPr>
      <w:r>
        <w:rPr>
          <w:rFonts w:ascii="Arial" w:cs="Arial" w:eastAsia="Arial" w:hAnsi="Arial"/>
          <w:sz w:val="17"/>
          <w:szCs w:val="17"/>
          <w:color w:val="auto"/>
        </w:rPr>
        <w:t xml:space="preserve">In addition to any other obligation of the Borrower to cure a Foreign Currency Excess Exposure pursuant to the terms of this Agreement, if, on any day prior to the Collection Date, a Foreign Currency Excess Exposure exists (whether as stated in a Servicing Report or pursuant to a calculation made by the Administrative Agent and provided to the Borrower from time to time), then the Borrower shall, within five Business Days from the date of such Foreign Currency Excess Exposure, eliminate such Foreign Currency Excess Exposure in its entirety by effecting one or more (or any combination) of the following actions in an amount at least equal to the Foreign Currency Required Reduction Amounts: (i) deposit cash in the applicable Currency into the Principal Collection Subaccount, (ii) repay Advances in the applicable Currency (together with any Breakage Fees and all accrued and unpaid costs and expenses of the Administrative Agent, the Lender Agents and the Lenders, in each case in respect of the amount so prepaid), (iii) sell Eligible Loan Assets in accordance with </w:t>
      </w:r>
      <w:r>
        <w:rPr>
          <w:rFonts w:ascii="Arial" w:cs="Arial" w:eastAsia="Arial" w:hAnsi="Arial"/>
          <w:sz w:val="17"/>
          <w:szCs w:val="17"/>
          <w:u w:val="single" w:color="auto"/>
          <w:color w:val="auto"/>
        </w:rPr>
        <w:t>Section 2.07</w:t>
      </w:r>
      <w:r>
        <w:rPr>
          <w:rFonts w:ascii="Arial" w:cs="Arial" w:eastAsia="Arial" w:hAnsi="Arial"/>
          <w:sz w:val="17"/>
          <w:szCs w:val="17"/>
          <w:color w:val="auto"/>
        </w:rPr>
        <w:t>, or (iv) subject to the approval of the Administrative Agent in its sole discretion, Pledge additional Eligible Loan Assets. The Administrative Agent shall use all commercially reasonable efforts to respond to any such approval request in a timely manner.</w:t>
      </w:r>
    </w:p>
    <w:p>
      <w:pPr>
        <w:spacing w:after="0" w:line="74" w:lineRule="exact"/>
        <w:rPr>
          <w:rFonts w:ascii="Arial" w:cs="Arial" w:eastAsia="Arial" w:hAnsi="Arial"/>
          <w:sz w:val="17"/>
          <w:szCs w:val="17"/>
          <w:color w:val="auto"/>
        </w:rPr>
      </w:pPr>
    </w:p>
    <w:p>
      <w:pPr>
        <w:ind w:firstLine="989"/>
        <w:spacing w:after="0" w:line="290" w:lineRule="auto"/>
        <w:tabs>
          <w:tab w:leader="none" w:pos="1230"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No later than 10:00 a.m. (New York City, New York time) on the Business Day of the proposed repayment of Advances or Pledge of additional Eligible Loan Assets pursuant to </w:t>
      </w:r>
      <w:r>
        <w:rPr>
          <w:rFonts w:ascii="Arial" w:cs="Arial" w:eastAsia="Arial" w:hAnsi="Arial"/>
          <w:sz w:val="16"/>
          <w:szCs w:val="16"/>
          <w:u w:val="single" w:color="auto"/>
          <w:color w:val="auto"/>
        </w:rPr>
        <w:t>Section 2.06(a)</w:t>
      </w:r>
      <w:r>
        <w:rPr>
          <w:rFonts w:ascii="Arial" w:cs="Arial" w:eastAsia="Arial" w:hAnsi="Arial"/>
          <w:sz w:val="16"/>
          <w:szCs w:val="16"/>
          <w:color w:val="auto"/>
        </w:rPr>
        <w:t xml:space="preserve">, the Borrower (or the Servicer on its behalf) shall deliver (i) to the Administrative Agent and Lender Agents (with a copy to the Collateral Agent and the Collateral Custodian), notice of such repayment or Pledge and a duly completed Borrowing Base Certificate, updated to the date such repayment or Pledge is being made and giving </w:t>
      </w:r>
      <w:r>
        <w:rPr>
          <w:rFonts w:ascii="Arial" w:cs="Arial" w:eastAsia="Arial" w:hAnsi="Arial"/>
          <w:sz w:val="16"/>
          <w:szCs w:val="16"/>
          <w:i w:val="1"/>
          <w:iCs w:val="1"/>
          <w:color w:val="auto"/>
        </w:rPr>
        <w:t>pro form</w:t>
      </w:r>
      <w:r>
        <w:rPr>
          <w:rFonts w:ascii="Arial" w:cs="Arial" w:eastAsia="Arial" w:hAnsi="Arial"/>
          <w:sz w:val="16"/>
          <w:szCs w:val="16"/>
          <w:color w:val="auto"/>
        </w:rPr>
        <w:t xml:space="preserve">a effect to such repayment or Pledge, and (ii) to the Administrative Agent, if applicable, a description of any Eligible Loan Asset and each Obligor of such Eligible Loan Asset to be Pledged and added to the updated Loan Asset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more than one repayment under this </w:t>
      </w:r>
      <w:r>
        <w:rPr>
          <w:rFonts w:ascii="Arial" w:cs="Arial" w:eastAsia="Arial" w:hAnsi="Arial"/>
          <w:sz w:val="16"/>
          <w:szCs w:val="16"/>
          <w:u w:val="single" w:color="auto"/>
          <w:color w:val="auto"/>
        </w:rPr>
        <w:t>Section 2.06(c)</w:t>
      </w:r>
      <w:r>
        <w:rPr>
          <w:rFonts w:ascii="Arial" w:cs="Arial" w:eastAsia="Arial" w:hAnsi="Arial"/>
          <w:sz w:val="16"/>
          <w:szCs w:val="16"/>
          <w:color w:val="auto"/>
        </w:rPr>
        <w:t xml:space="preserve"> may be made in any one calendar week. Any notice pertaining to any repayment or any Pledge pursuant to this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shall be irrevocable.</w:t>
      </w:r>
    </w:p>
    <w:p>
      <w:pPr>
        <w:spacing w:after="0" w:line="56" w:lineRule="exact"/>
        <w:rPr>
          <w:rFonts w:ascii="Arial" w:cs="Arial" w:eastAsia="Arial" w:hAnsi="Arial"/>
          <w:sz w:val="16"/>
          <w:szCs w:val="16"/>
          <w:color w:val="auto"/>
        </w:rPr>
      </w:pPr>
    </w:p>
    <w:p>
      <w:pPr>
        <w:ind w:right="40" w:firstLine="989"/>
        <w:spacing w:after="0" w:line="258"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Until such time as any Borrowing Base Deficiency has been cured in full and the Borrowing Base Cure Period is not in effect and no other Event of Default or Unmatured Event of Default has occurred and is continuing, the Borrower shall not request the right to transfer (by sale, dividend, distribution or otherwise), and the Administrative Agent and Collateral Agent shall not grant the release of Lien or the transfer of any Eligible Loan Asset from the Collateral Portfolio.</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20"/>
          </w:cols>
          <w:pgMar w:left="460" w:top="273" w:right="519" w:bottom="1440" w:gutter="0" w:footer="0" w:header="0"/>
        </w:sectPr>
      </w:pPr>
    </w:p>
    <w:bookmarkStart w:id="141" w:name="page142"/>
    <w:bookmarkEnd w:id="141"/>
    <w:p>
      <w:pPr>
        <w:ind w:left="978"/>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2.07 </w:t>
      </w:r>
      <w:r>
        <w:rPr>
          <w:rFonts w:ascii="Arial" w:cs="Arial" w:eastAsia="Arial" w:hAnsi="Arial"/>
          <w:sz w:val="18"/>
          <w:szCs w:val="18"/>
          <w:u w:val="single" w:color="auto"/>
          <w:color w:val="auto"/>
        </w:rPr>
        <w:t>Substitution and Sale of Loan Assets; Affiliate Transactions</w:t>
      </w:r>
      <w:r>
        <w:rPr>
          <w:rFonts w:ascii="Arial" w:cs="Arial" w:eastAsia="Arial" w:hAnsi="Arial"/>
          <w:sz w:val="18"/>
          <w:szCs w:val="18"/>
          <w:color w:val="auto"/>
        </w:rPr>
        <w:t>.</w:t>
      </w:r>
    </w:p>
    <w:p>
      <w:pPr>
        <w:spacing w:after="0" w:line="115" w:lineRule="exact"/>
        <w:rPr>
          <w:sz w:val="20"/>
          <w:szCs w:val="20"/>
          <w:color w:val="auto"/>
        </w:rPr>
      </w:pPr>
    </w:p>
    <w:p>
      <w:pPr>
        <w:ind w:left="-2" w:right="80" w:firstLine="989"/>
        <w:spacing w:after="0" w:line="269" w:lineRule="auto"/>
        <w:tabs>
          <w:tab w:leader="none" w:pos="1228"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Substitutions</w:t>
      </w:r>
      <w:r>
        <w:rPr>
          <w:rFonts w:ascii="Arial" w:cs="Arial" w:eastAsia="Arial" w:hAnsi="Arial"/>
          <w:sz w:val="17"/>
          <w:szCs w:val="17"/>
          <w:color w:val="auto"/>
        </w:rPr>
        <w:t>. The Borrower may, with the consent of the Administrative Agent in its sole discretion, replace any Loan Asset (a “</w:t>
      </w:r>
      <w:r>
        <w:rPr>
          <w:rFonts w:ascii="Arial" w:cs="Arial" w:eastAsia="Arial" w:hAnsi="Arial"/>
          <w:sz w:val="17"/>
          <w:szCs w:val="17"/>
          <w:u w:val="single" w:color="auto"/>
          <w:color w:val="auto"/>
        </w:rPr>
        <w:t>Substitution</w:t>
      </w:r>
      <w:r>
        <w:rPr>
          <w:rFonts w:ascii="Arial" w:cs="Arial" w:eastAsia="Arial" w:hAnsi="Arial"/>
          <w:sz w:val="17"/>
          <w:szCs w:val="17"/>
          <w:color w:val="auto"/>
        </w:rPr>
        <w:t xml:space="preserve">”) </w:t>
      </w:r>
      <w:r>
        <w:rPr>
          <w:rFonts w:ascii="Arial" w:cs="Arial" w:eastAsia="Arial" w:hAnsi="Arial"/>
          <w:sz w:val="17"/>
          <w:szCs w:val="17"/>
          <w:i w:val="1"/>
          <w:iCs w:val="1"/>
          <w:color w:val="auto"/>
        </w:rPr>
        <w:t>so long as</w:t>
      </w:r>
      <w:r>
        <w:rPr>
          <w:rFonts w:ascii="Arial" w:cs="Arial" w:eastAsia="Arial" w:hAnsi="Arial"/>
          <w:sz w:val="17"/>
          <w:szCs w:val="17"/>
          <w:color w:val="auto"/>
        </w:rPr>
        <w:t xml:space="preserve"> (i) no Suspension Period is continuing or would result from such Substitution, (ii) such Substitution results in Collateral Quality Improvement, (iii) no Event of Default has occurred and is continuing, or would result from such Substitution, and no event has occurred and is continuing, or would result from such Substitution, which constitutes an Unmatured Event of Default, a Foreign Currency Excess Exposure or a Borrowing Base Deficiency and, with respect to a Borrowing Base Deficiency the Borrowing Base Cure Period is not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effect a Substitution as necessary to cure a Foreign Currency Excess Exposure or Borrowing Base Deficiency and terminate the Borrowing Base Cure Period and any related Unmatured Event of Default arising therefrom; and (iv) simultaneously therewith, the Borrower Pledges (in accordance with all of the terms and provisions contained herein) a Substitute Eligible Loan Asset. The Administrative Agent shall use all commercially reasonable efforts to respond to any approval request in a timely manner.</w:t>
      </w:r>
    </w:p>
    <w:p>
      <w:pPr>
        <w:spacing w:after="0" w:line="70" w:lineRule="exact"/>
        <w:rPr>
          <w:rFonts w:ascii="Arial" w:cs="Arial" w:eastAsia="Arial" w:hAnsi="Arial"/>
          <w:sz w:val="17"/>
          <w:szCs w:val="17"/>
          <w:color w:val="auto"/>
        </w:rPr>
      </w:pPr>
    </w:p>
    <w:p>
      <w:pPr>
        <w:ind w:left="-2" w:firstLine="989"/>
        <w:spacing w:after="0" w:line="267" w:lineRule="auto"/>
        <w:tabs>
          <w:tab w:leader="none" w:pos="1238"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Discretionary Sales</w:t>
      </w:r>
      <w:r>
        <w:rPr>
          <w:rFonts w:ascii="Arial" w:cs="Arial" w:eastAsia="Arial" w:hAnsi="Arial"/>
          <w:sz w:val="17"/>
          <w:szCs w:val="17"/>
          <w:color w:val="auto"/>
        </w:rPr>
        <w:t>. The Borrower may sell Loan Assets from time to time, without the consent of the Administrative Agent to Persons including the Transferor and its Affiliates (a “</w:t>
      </w:r>
      <w:r>
        <w:rPr>
          <w:rFonts w:ascii="Arial" w:cs="Arial" w:eastAsia="Arial" w:hAnsi="Arial"/>
          <w:sz w:val="17"/>
          <w:szCs w:val="17"/>
          <w:u w:val="single" w:color="auto"/>
          <w:color w:val="auto"/>
        </w:rPr>
        <w:t>Discretionary Sale</w:t>
      </w:r>
      <w:r>
        <w:rPr>
          <w:rFonts w:ascii="Arial" w:cs="Arial" w:eastAsia="Arial" w:hAnsi="Arial"/>
          <w:sz w:val="17"/>
          <w:szCs w:val="17"/>
          <w:color w:val="auto"/>
        </w:rPr>
        <w:t xml:space="preserve">”); </w:t>
      </w:r>
      <w:r>
        <w:rPr>
          <w:rFonts w:ascii="Arial" w:cs="Arial" w:eastAsia="Arial" w:hAnsi="Arial"/>
          <w:sz w:val="17"/>
          <w:szCs w:val="17"/>
          <w:i w:val="1"/>
          <w:iCs w:val="1"/>
          <w:color w:val="auto"/>
        </w:rPr>
        <w:t>so long as</w:t>
      </w:r>
      <w:r>
        <w:rPr>
          <w:rFonts w:ascii="Arial" w:cs="Arial" w:eastAsia="Arial" w:hAnsi="Arial"/>
          <w:sz w:val="17"/>
          <w:szCs w:val="17"/>
          <w:color w:val="auto"/>
        </w:rPr>
        <w:t xml:space="preserve"> (i) the purchase price in cash deposited in the Collection Account with respect to such Discretionary Sale is at least equal to the Outstanding Loan Balance and otherwise complies with the pricing requirements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below, (ii) 100% of the net proceeds of such Discretionary Sale (in the same Currency as such Loan Asset, except with respect to a Foreign Currency Loan Asset subject to a Hedging Agreement) shall be deposited into the Collection Account to be disbursed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hereof, (iii) no Suspension Period is continuing or would result from such Discretionary Sale, (iv) such Discretionary Sale results in Collateral Quality Improvement, and (v) no event has occurred and is continuing, or would result from such Discretionary Sale, which constitutes an Event of Default and no event has occurred and is continuing, or would result from such Discretionary Sale, which constitutes an Unmatured Event of Default, a Foreign Currency Excess Exposure or a Borrowing Base Deficiency and, with respect to a Borrowing Base Deficiency the Borrowing Base Cure Period is not in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effectuate a Discretionary Sale as necessary to cure a Foreign Currency Excess Exposure or Borrowing Base Deficiency and terminate the Borrowing Base Cure Period and any Unmatured Event of Default arising therefrom so long as such Loan Asset is sold for an amount at least equal to the Outstanding Loan Balance.</w:t>
      </w:r>
    </w:p>
    <w:p>
      <w:pPr>
        <w:spacing w:after="0" w:line="77" w:lineRule="exact"/>
        <w:rPr>
          <w:rFonts w:ascii="Arial" w:cs="Arial" w:eastAsia="Arial" w:hAnsi="Arial"/>
          <w:sz w:val="17"/>
          <w:szCs w:val="17"/>
          <w:color w:val="auto"/>
        </w:rPr>
      </w:pPr>
    </w:p>
    <w:p>
      <w:pPr>
        <w:ind w:left="-2" w:right="40" w:firstLine="989"/>
        <w:spacing w:after="0" w:line="282" w:lineRule="auto"/>
        <w:tabs>
          <w:tab w:leader="none" w:pos="1228"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Optional Sales</w:t>
      </w:r>
      <w:r>
        <w:rPr>
          <w:rFonts w:ascii="Arial" w:cs="Arial" w:eastAsia="Arial" w:hAnsi="Arial"/>
          <w:sz w:val="16"/>
          <w:szCs w:val="16"/>
          <w:color w:val="auto"/>
        </w:rPr>
        <w:t>. The Borrower may on any Optional Sale Date, prepay all or portion of the Advances Outstanding in connection with the sale of all or a portion of the Loan Assets in connection with a Permitted Securitization or a Permitted Refinancing (each, an “</w:t>
      </w:r>
      <w:r>
        <w:rPr>
          <w:rFonts w:ascii="Arial" w:cs="Arial" w:eastAsia="Arial" w:hAnsi="Arial"/>
          <w:sz w:val="16"/>
          <w:szCs w:val="16"/>
          <w:u w:val="single" w:color="auto"/>
          <w:color w:val="auto"/>
        </w:rPr>
        <w:t>Optional Sale</w:t>
      </w:r>
      <w:r>
        <w:rPr>
          <w:rFonts w:ascii="Arial" w:cs="Arial" w:eastAsia="Arial" w:hAnsi="Arial"/>
          <w:sz w:val="16"/>
          <w:szCs w:val="16"/>
          <w:color w:val="auto"/>
        </w:rPr>
        <w:t xml:space="preserve">”), without the consent of the Administrative Agent; </w:t>
      </w:r>
      <w:r>
        <w:rPr>
          <w:rFonts w:ascii="Arial" w:cs="Arial" w:eastAsia="Arial" w:hAnsi="Arial"/>
          <w:sz w:val="16"/>
          <w:szCs w:val="16"/>
          <w:i w:val="1"/>
          <w:iCs w:val="1"/>
          <w:color w:val="auto"/>
        </w:rPr>
        <w:t>so long as</w:t>
      </w:r>
      <w:r>
        <w:rPr>
          <w:rFonts w:ascii="Arial" w:cs="Arial" w:eastAsia="Arial" w:hAnsi="Arial"/>
          <w:sz w:val="16"/>
          <w:szCs w:val="16"/>
          <w:color w:val="auto"/>
        </w:rPr>
        <w:t xml:space="preserve"> (i) the Borrower shall have provided to the Administrative Agent (with a copy to the Collateral Agent and Collateral Custodian) not more than 45 days’ and at least 20 days’ prior written notice of its intent to effect an Optional Sale on the Optional Sale Date, (ii) the purchase price in cash deposited in the Collection Account with respect to the Optional Sale is at least equal to the aggregate Outstanding Loan Balance of the Loan Assets being sold and purchased in connection therewith, and otherwise complies with the pricing requirements set forth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below), (ii) 100% of the net proceeds of such Optional Sale shall be deposited into the Collection Account to be disbursed in accordance with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hereof, (iii) no Suspension Period or Borrowing Base Cure Period is continuing or would result from such Optional Sale,</w:t>
      </w:r>
    </w:p>
    <w:p>
      <w:pPr>
        <w:spacing w:after="0" w:line="5" w:lineRule="exact"/>
        <w:rPr>
          <w:rFonts w:ascii="Arial" w:cs="Arial" w:eastAsia="Arial" w:hAnsi="Arial"/>
          <w:sz w:val="16"/>
          <w:szCs w:val="16"/>
          <w:color w:val="auto"/>
        </w:rPr>
      </w:pPr>
    </w:p>
    <w:p>
      <w:pPr>
        <w:ind w:left="-2" w:right="60" w:firstLine="2"/>
        <w:spacing w:after="0" w:line="253" w:lineRule="auto"/>
        <w:tabs>
          <w:tab w:leader="none" w:pos="30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Optional Sale, which constitutes an Event of Default and no event has occurred and is continuing, or would result from such Optional Sale, which constitutes an Unmatured Event of Default, a Foreign Currency Excess Exposure or a Borrowing Base Deficiency and (v) such Optional Sale results in Collateral Quality Improvement.</w:t>
      </w:r>
    </w:p>
    <w:p>
      <w:pPr>
        <w:spacing w:after="0" w:line="124"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58"/>
          </w:cols>
          <w:pgMar w:left="462" w:top="273" w:right="479" w:bottom="1440" w:gutter="0" w:footer="0" w:header="0"/>
        </w:sectPr>
      </w:pPr>
    </w:p>
    <w:bookmarkStart w:id="142" w:name="page143"/>
    <w:bookmarkEnd w:id="142"/>
    <w:p>
      <w:pPr>
        <w:ind w:left="-20" w:firstLine="989"/>
        <w:spacing w:after="0" w:line="268" w:lineRule="auto"/>
        <w:tabs>
          <w:tab w:leader="none" w:pos="1220" w:val="left"/>
        </w:tabs>
        <w:numPr>
          <w:ilvl w:val="2"/>
          <w:numId w:val="10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Loan Asset Dividend</w:t>
      </w:r>
      <w:r>
        <w:rPr>
          <w:rFonts w:ascii="Arial" w:cs="Arial" w:eastAsia="Arial" w:hAnsi="Arial"/>
          <w:sz w:val="17"/>
          <w:szCs w:val="17"/>
          <w:color w:val="auto"/>
        </w:rPr>
        <w:t>. The Borrower may, on any Loan Asset Dividend Date, distribute by dividend to its member a portion of the Loan Assets (each, a “</w:t>
      </w:r>
      <w:r>
        <w:rPr>
          <w:rFonts w:ascii="Arial" w:cs="Arial" w:eastAsia="Arial" w:hAnsi="Arial"/>
          <w:sz w:val="17"/>
          <w:szCs w:val="17"/>
          <w:u w:val="single" w:color="auto"/>
          <w:color w:val="auto"/>
        </w:rPr>
        <w:t>Loan Asset Dividend</w:t>
      </w:r>
      <w:r>
        <w:rPr>
          <w:rFonts w:ascii="Arial" w:cs="Arial" w:eastAsia="Arial" w:hAnsi="Arial"/>
          <w:sz w:val="17"/>
          <w:szCs w:val="17"/>
          <w:color w:val="auto"/>
        </w:rPr>
        <w:t xml:space="preserve">”), without the consent of the Administrative Agent; </w:t>
      </w:r>
      <w:r>
        <w:rPr>
          <w:rFonts w:ascii="Arial" w:cs="Arial" w:eastAsia="Arial" w:hAnsi="Arial"/>
          <w:sz w:val="17"/>
          <w:szCs w:val="17"/>
          <w:i w:val="1"/>
          <w:iCs w:val="1"/>
          <w:color w:val="auto"/>
        </w:rPr>
        <w:t>so long as</w:t>
      </w:r>
      <w:r>
        <w:rPr>
          <w:rFonts w:ascii="Arial" w:cs="Arial" w:eastAsia="Arial" w:hAnsi="Arial"/>
          <w:sz w:val="17"/>
          <w:szCs w:val="17"/>
          <w:color w:val="auto"/>
        </w:rPr>
        <w:t xml:space="preserve"> (i) the Borrower shall have provided to the Administrative Agent (with a copy to the Collateral Agent and Collateral Custodian) not more than 45 days’ and at least 20 days’ prior written notice of its intent to effect a Loan Asset Dividend on the Loan Asset Dividend Date, (ii) no Suspension Period or Borrowing Base Cure Period is continuing or would result from such Loan Asset Dividend, (iii) no event has occurred and is continuing, or would result from such Loan Asset Dividend, which constitutes an Event of Default and no event has occurred and is continuing, or would result from such Loan Asset Dividend, which constitutes an Unmatured Event of Default, a Foreign Currency Excess Exposure or a Borrowing Base Deficiency, (iv) such Loan Asset Dividend results in Collateral Quality Improvement and (v) not more than five days’ and at least two days’ prior to the related Loan Asset Dividend Date the Borrower and the Servicer shall have delivered to the Administrative Agent a written certificate (a “</w:t>
      </w:r>
      <w:r>
        <w:rPr>
          <w:rFonts w:ascii="Arial" w:cs="Arial" w:eastAsia="Arial" w:hAnsi="Arial"/>
          <w:sz w:val="17"/>
          <w:szCs w:val="17"/>
          <w:u w:val="single" w:color="auto"/>
          <w:color w:val="auto"/>
        </w:rPr>
        <w:t>Loan Asset Dividend Certificate</w:t>
      </w:r>
      <w:r>
        <w:rPr>
          <w:rFonts w:ascii="Arial" w:cs="Arial" w:eastAsia="Arial" w:hAnsi="Arial"/>
          <w:sz w:val="17"/>
          <w:szCs w:val="17"/>
          <w:color w:val="auto"/>
        </w:rPr>
        <w:t xml:space="preserve">”) that (x) lists all Loan Assets to be subject to the Loan Asset Dividend, and (y) certifies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of the Loan Asset Dividend Date that, after giving effect to such Loan Asset Dividend, the Loan Equity Cushion is maintained.</w:t>
      </w:r>
    </w:p>
    <w:p>
      <w:pPr>
        <w:spacing w:after="0" w:line="71" w:lineRule="exact"/>
        <w:rPr>
          <w:rFonts w:ascii="Arial" w:cs="Arial" w:eastAsia="Arial" w:hAnsi="Arial"/>
          <w:sz w:val="17"/>
          <w:szCs w:val="17"/>
          <w:color w:val="auto"/>
        </w:rPr>
      </w:pPr>
    </w:p>
    <w:p>
      <w:pPr>
        <w:ind w:left="-20" w:right="40" w:firstLine="989"/>
        <w:spacing w:after="0" w:line="284" w:lineRule="auto"/>
        <w:tabs>
          <w:tab w:leader="none" w:pos="1210" w:val="left"/>
        </w:tabs>
        <w:numPr>
          <w:ilvl w:val="2"/>
          <w:numId w:val="101"/>
        </w:numPr>
        <w:rPr>
          <w:rFonts w:ascii="Arial" w:cs="Arial" w:eastAsia="Arial" w:hAnsi="Arial"/>
          <w:sz w:val="17"/>
          <w:szCs w:val="17"/>
          <w:color w:val="auto"/>
        </w:rPr>
      </w:pPr>
      <w:r>
        <w:rPr>
          <w:rFonts w:ascii="Arial" w:cs="Arial" w:eastAsia="Arial" w:hAnsi="Arial"/>
          <w:sz w:val="17"/>
          <w:szCs w:val="17"/>
          <w:u w:val="single" w:color="auto"/>
          <w:color w:val="auto"/>
        </w:rPr>
        <w:t>Purchase or Substitution of Warranty Loan Assets</w:t>
      </w:r>
      <w:r>
        <w:rPr>
          <w:rFonts w:ascii="Arial" w:cs="Arial" w:eastAsia="Arial" w:hAnsi="Arial"/>
          <w:sz w:val="17"/>
          <w:szCs w:val="17"/>
          <w:color w:val="auto"/>
        </w:rPr>
        <w:t>. If on any day a Loan Asset is (or becomes) a Warranty Loan Asset, subject to the proviso below, no later than 10 days following the earlier of knowledge by the Borrower of such Loan Asset becoming a Warranty Loan Asset or receipt by the Borrower from the Administrative Agent or the Servicer of written notice thereof, the Borrower shall either:</w:t>
      </w:r>
    </w:p>
    <w:p>
      <w:pPr>
        <w:spacing w:after="0" w:line="58" w:lineRule="exact"/>
        <w:rPr>
          <w:rFonts w:ascii="Arial" w:cs="Arial" w:eastAsia="Arial" w:hAnsi="Arial"/>
          <w:sz w:val="17"/>
          <w:szCs w:val="17"/>
          <w:color w:val="auto"/>
        </w:rPr>
      </w:pPr>
    </w:p>
    <w:p>
      <w:pPr>
        <w:jc w:val="both"/>
        <w:ind w:left="420" w:right="260" w:firstLine="421"/>
        <w:spacing w:after="0" w:line="289" w:lineRule="auto"/>
        <w:tabs>
          <w:tab w:leader="none" w:pos="105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 xml:space="preserve">make a deposit to the Collection Account (for allocation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in immediately available funds in an amount (in the same Currency as such Warranty Loan Asset, except with respect to a Foreign Currency Loan Asset subject to a Hedging Agreement) equal to</w:t>
      </w:r>
    </w:p>
    <w:p>
      <w:pPr>
        <w:spacing w:after="0" w:line="1" w:lineRule="exact"/>
        <w:rPr>
          <w:rFonts w:ascii="Arial" w:cs="Arial" w:eastAsia="Arial" w:hAnsi="Arial"/>
          <w:sz w:val="16"/>
          <w:szCs w:val="16"/>
          <w:color w:val="auto"/>
        </w:rPr>
      </w:pPr>
    </w:p>
    <w:p>
      <w:pPr>
        <w:ind w:left="420" w:right="120"/>
        <w:spacing w:after="0" w:line="251" w:lineRule="auto"/>
        <w:tabs>
          <w:tab w:leader="none" w:pos="6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Advance Date Assigned Value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then outstanding of such Loan Asset, plus on such amount interest from the Cut-Off Date at the Yield Rate, and (y) any expenses or fees with respect to such Loan Asset and costs and damages incurred by the Administrative Agent, any Lender Agent or any Lender in connection with any violation by such Loan Asset of any predatory or abusive lending law which is an Applicable Law (a notification regarding the amount of such expenses or fees to be provided by the Administrative Agent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the right to determine whether the amount so deposited is sufficient to satisfy the foregoing requirements; or</w:t>
      </w:r>
    </w:p>
    <w:p>
      <w:pPr>
        <w:spacing w:after="0" w:line="83" w:lineRule="exact"/>
        <w:rPr>
          <w:rFonts w:ascii="Arial" w:cs="Arial" w:eastAsia="Arial" w:hAnsi="Arial"/>
          <w:sz w:val="18"/>
          <w:szCs w:val="18"/>
          <w:color w:val="auto"/>
        </w:rPr>
      </w:pPr>
    </w:p>
    <w:p>
      <w:pPr>
        <w:ind w:left="420" w:right="300" w:firstLine="421"/>
        <w:spacing w:after="0" w:line="275" w:lineRule="auto"/>
        <w:tabs>
          <w:tab w:leader="none" w:pos="110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with the prior written consent of the Administrative Agent, in its sole discretion, substitute for such Warranty Loan Asset a Substitute Eligible Loan Asset;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40"/>
          </w:cols>
          <w:pgMar w:left="480" w:top="273" w:right="479" w:bottom="1440" w:gutter="0" w:footer="0" w:header="0"/>
        </w:sectPr>
      </w:pPr>
    </w:p>
    <w:bookmarkStart w:id="143" w:name="page144"/>
    <w:bookmarkEnd w:id="143"/>
    <w:p>
      <w:pPr>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provided</w:t>
      </w:r>
      <w:r>
        <w:rPr>
          <w:rFonts w:ascii="Arial" w:cs="Arial" w:eastAsia="Arial" w:hAnsi="Arial"/>
          <w:sz w:val="16"/>
          <w:szCs w:val="16"/>
          <w:color w:val="auto"/>
        </w:rPr>
        <w:t>, that so long as (i) no Event of Default, Unmatured Event of Default, Suspension Period or CQT Non-Qualification Period is continuing or would result therefrom, (ii) the Commitment Termination Date has not occurred and is not scheduled or anticipated to occur within 30 days from the related Cut-Off Date (a “</w:t>
      </w:r>
      <w:r>
        <w:rPr>
          <w:rFonts w:ascii="Arial" w:cs="Arial" w:eastAsia="Arial" w:hAnsi="Arial"/>
          <w:sz w:val="16"/>
          <w:szCs w:val="16"/>
          <w:u w:val="single" w:color="auto"/>
          <w:color w:val="auto"/>
        </w:rPr>
        <w:t>Cure Date</w:t>
      </w:r>
      <w:r>
        <w:rPr>
          <w:rFonts w:ascii="Arial" w:cs="Arial" w:eastAsia="Arial" w:hAnsi="Arial"/>
          <w:sz w:val="16"/>
          <w:szCs w:val="16"/>
          <w:color w:val="auto"/>
        </w:rPr>
        <w:t xml:space="preserve">”), (iii) the Servicer believes in good faith that such breach of representation or warranty is capable of being rectified prior to the relevant Cure Date, and (iv) the Servicer delivers a written notice to the Administrative Agent setting forth that a breach of one or more representations or warranties relating to a Loan Asset existed as of its related Cut-Off Date (and describing such breach), and that the Servicer is actively seeking to rectify such breach prior to the relevant Cure Date, </w:t>
      </w:r>
      <w:r>
        <w:rPr>
          <w:rFonts w:ascii="Arial" w:cs="Arial" w:eastAsia="Arial" w:hAnsi="Arial"/>
          <w:sz w:val="16"/>
          <w:szCs w:val="16"/>
          <w:i w:val="1"/>
          <w:iCs w:val="1"/>
          <w:color w:val="auto"/>
        </w:rPr>
        <w:t>then</w:t>
      </w:r>
      <w:r>
        <w:rPr>
          <w:rFonts w:ascii="Arial" w:cs="Arial" w:eastAsia="Arial" w:hAnsi="Arial"/>
          <w:sz w:val="16"/>
          <w:szCs w:val="16"/>
          <w:color w:val="auto"/>
        </w:rPr>
        <w:t xml:space="preserve"> (x) the Servicer shall not be required to take the actions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w:t>
      </w:r>
    </w:p>
    <w:p>
      <w:pPr>
        <w:spacing w:after="0" w:line="3" w:lineRule="exact"/>
        <w:rPr>
          <w:sz w:val="20"/>
          <w:szCs w:val="20"/>
          <w:color w:val="auto"/>
        </w:rPr>
      </w:pPr>
    </w:p>
    <w:p>
      <w:pPr>
        <w:ind w:firstLine="2"/>
        <w:spacing w:after="0" w:line="252" w:lineRule="auto"/>
        <w:tabs>
          <w:tab w:leader="none" w:pos="264" w:val="left"/>
        </w:tabs>
        <w:numPr>
          <w:ilvl w:val="0"/>
          <w:numId w:val="104"/>
        </w:numPr>
        <w:rPr>
          <w:rFonts w:ascii="Arial" w:cs="Arial" w:eastAsia="Arial" w:hAnsi="Arial"/>
          <w:sz w:val="18"/>
          <w:szCs w:val="18"/>
          <w:u w:val="single" w:color="auto"/>
          <w:color w:val="auto"/>
        </w:rPr>
      </w:pPr>
      <w:r>
        <w:rPr>
          <w:rFonts w:ascii="Arial" w:cs="Arial" w:eastAsia="Arial" w:hAnsi="Arial"/>
          <w:sz w:val="18"/>
          <w:szCs w:val="18"/>
          <w:color w:val="auto"/>
        </w:rPr>
        <w:t xml:space="preserve">above until the relevant Cure Date therefor, and (y) if, prior to such Cure Date the Servicer and the Borrower each certifies to the Administrative Agent that all breaches of representations or warranties that resulted in the occurrence of a Warranty Event have been cured in full, then such Loan Asset shall no longer be considered a “Warranty Loan Asset” hererunder; </w:t>
      </w:r>
      <w:r>
        <w:rPr>
          <w:rFonts w:ascii="Arial" w:cs="Arial" w:eastAsia="Arial" w:hAnsi="Arial"/>
          <w:sz w:val="18"/>
          <w:szCs w:val="18"/>
          <w:u w:val="single" w:color="auto"/>
          <w:color w:val="auto"/>
        </w:rPr>
        <w:t>provided</w:t>
      </w:r>
      <w:r>
        <w:rPr>
          <w:rFonts w:ascii="Arial" w:cs="Arial" w:eastAsia="Arial" w:hAnsi="Arial"/>
          <w:sz w:val="18"/>
          <w:szCs w:val="18"/>
          <w:color w:val="auto"/>
        </w:rPr>
        <w:t>, that until such time, such Loan Asset shall not constitute an Eligible Loan Asset.</w:t>
      </w:r>
    </w:p>
    <w:p>
      <w:pPr>
        <w:spacing w:after="0" w:line="83" w:lineRule="exact"/>
        <w:rPr>
          <w:rFonts w:ascii="Arial" w:cs="Arial" w:eastAsia="Arial" w:hAnsi="Arial"/>
          <w:sz w:val="18"/>
          <w:szCs w:val="18"/>
          <w:u w:val="single" w:color="auto"/>
          <w:color w:val="auto"/>
        </w:rPr>
      </w:pPr>
    </w:p>
    <w:p>
      <w:pPr>
        <w:ind w:left="1220" w:hanging="231"/>
        <w:spacing w:after="0"/>
        <w:tabs>
          <w:tab w:leader="none" w:pos="1220" w:val="left"/>
        </w:tabs>
        <w:numPr>
          <w:ilvl w:val="2"/>
          <w:numId w:val="104"/>
        </w:numPr>
        <w:rPr>
          <w:rFonts w:ascii="Arial" w:cs="Arial" w:eastAsia="Arial" w:hAnsi="Arial"/>
          <w:sz w:val="18"/>
          <w:szCs w:val="18"/>
          <w:color w:val="auto"/>
        </w:rPr>
      </w:pPr>
      <w:r>
        <w:rPr>
          <w:rFonts w:ascii="Arial" w:cs="Arial" w:eastAsia="Arial" w:hAnsi="Arial"/>
          <w:sz w:val="18"/>
          <w:szCs w:val="18"/>
          <w:u w:val="single" w:color="auto"/>
          <w:color w:val="auto"/>
        </w:rPr>
        <w:t>Release of Lien</w:t>
      </w:r>
      <w:r>
        <w:rPr>
          <w:rFonts w:ascii="Arial" w:cs="Arial" w:eastAsia="Arial" w:hAnsi="Arial"/>
          <w:sz w:val="18"/>
          <w:szCs w:val="18"/>
          <w:color w:val="auto"/>
        </w:rPr>
        <w:t>. Upon confirmation by the Administrative Agent and Collateral Agent, as the case may be, of:</w:t>
      </w:r>
    </w:p>
    <w:p>
      <w:pPr>
        <w:spacing w:after="0" w:line="115" w:lineRule="exact"/>
        <w:rPr>
          <w:rFonts w:ascii="Arial" w:cs="Arial" w:eastAsia="Arial" w:hAnsi="Arial"/>
          <w:sz w:val="18"/>
          <w:szCs w:val="18"/>
          <w:color w:val="auto"/>
        </w:rPr>
      </w:pPr>
    </w:p>
    <w:p>
      <w:pPr>
        <w:ind w:left="440" w:right="60" w:firstLine="421"/>
        <w:spacing w:after="0" w:line="275" w:lineRule="auto"/>
        <w:tabs>
          <w:tab w:leader="none" w:pos="107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delivery by the Borrower of a Substitute Eligible Loan Asset pursuant to a Substitution under </w:t>
      </w:r>
      <w:r>
        <w:rPr>
          <w:rFonts w:ascii="Arial" w:cs="Arial" w:eastAsia="Arial" w:hAnsi="Arial"/>
          <w:sz w:val="18"/>
          <w:szCs w:val="18"/>
          <w:u w:val="single" w:color="auto"/>
          <w:color w:val="auto"/>
        </w:rPr>
        <w:t>Section 2.07(a)(i)</w:t>
      </w:r>
      <w:r>
        <w:rPr>
          <w:rFonts w:ascii="Arial" w:cs="Arial" w:eastAsia="Arial" w:hAnsi="Arial"/>
          <w:sz w:val="18"/>
          <w:szCs w:val="18"/>
          <w:color w:val="auto"/>
        </w:rPr>
        <w:t xml:space="preserve"> and the fulfillment of the other terms and conditions set forth in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40" w:right="220" w:firstLine="421"/>
        <w:spacing w:after="0" w:line="262" w:lineRule="auto"/>
        <w:tabs>
          <w:tab w:leader="none" w:pos="112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deposit of the purchase price in cash (in the same Currency as the related Loan Asset, except with respect to a Foreign Currency Loan Asset subject to a Hedging Agreement) into the Collection Account pursuant to a Discretionary Sale set forth in </w:t>
      </w:r>
      <w:r>
        <w:rPr>
          <w:rFonts w:ascii="Arial" w:cs="Arial" w:eastAsia="Arial" w:hAnsi="Arial"/>
          <w:sz w:val="18"/>
          <w:szCs w:val="18"/>
          <w:u w:val="single" w:color="auto"/>
          <w:color w:val="auto"/>
        </w:rPr>
        <w:t>Section 2.07(b)(i)</w:t>
      </w:r>
      <w:r>
        <w:rPr>
          <w:rFonts w:ascii="Arial" w:cs="Arial" w:eastAsia="Arial" w:hAnsi="Arial"/>
          <w:sz w:val="18"/>
          <w:szCs w:val="18"/>
          <w:color w:val="auto"/>
        </w:rPr>
        <w:t xml:space="preserve"> and the fulfillment of the other terms and conditions set forth in </w:t>
      </w:r>
      <w:r>
        <w:rPr>
          <w:rFonts w:ascii="Arial" w:cs="Arial" w:eastAsia="Arial" w:hAnsi="Arial"/>
          <w:sz w:val="18"/>
          <w:szCs w:val="18"/>
          <w:u w:val="single" w:color="auto"/>
          <w:color w:val="auto"/>
        </w:rPr>
        <w:t>Section 2.07(b)</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440" w:right="340" w:firstLine="421"/>
        <w:spacing w:after="0" w:line="262" w:lineRule="auto"/>
        <w:tabs>
          <w:tab w:leader="none" w:pos="117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deposit of the purchase price in cash (in the same Currency as the related Loan Asset, except with respect to a Foreign Currency Loan Asset subject to a Hedging Agreement) into the Collection Account pursuant to an Optional Sale set forth in </w:t>
      </w:r>
      <w:r>
        <w:rPr>
          <w:rFonts w:ascii="Arial" w:cs="Arial" w:eastAsia="Arial" w:hAnsi="Arial"/>
          <w:sz w:val="18"/>
          <w:szCs w:val="18"/>
          <w:u w:val="single" w:color="auto"/>
          <w:color w:val="auto"/>
        </w:rPr>
        <w:t>Section 2.07(c)(ii)</w:t>
      </w:r>
      <w:r>
        <w:rPr>
          <w:rFonts w:ascii="Arial" w:cs="Arial" w:eastAsia="Arial" w:hAnsi="Arial"/>
          <w:sz w:val="18"/>
          <w:szCs w:val="18"/>
          <w:color w:val="auto"/>
        </w:rPr>
        <w:t xml:space="preserve"> and the fulfillment of the other terms and conditions set forth in </w:t>
      </w:r>
      <w:r>
        <w:rPr>
          <w:rFonts w:ascii="Arial" w:cs="Arial" w:eastAsia="Arial" w:hAnsi="Arial"/>
          <w:sz w:val="18"/>
          <w:szCs w:val="18"/>
          <w:u w:val="single" w:color="auto"/>
          <w:color w:val="auto"/>
        </w:rPr>
        <w:t>Section 2.07(c)</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440" w:right="120" w:firstLine="421"/>
        <w:spacing w:after="0" w:line="262" w:lineRule="auto"/>
        <w:tabs>
          <w:tab w:leader="none" w:pos="11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deposit of the amounts set forth in </w:t>
      </w:r>
      <w:r>
        <w:rPr>
          <w:rFonts w:ascii="Arial" w:cs="Arial" w:eastAsia="Arial" w:hAnsi="Arial"/>
          <w:sz w:val="18"/>
          <w:szCs w:val="18"/>
          <w:u w:val="single" w:color="auto"/>
          <w:color w:val="auto"/>
        </w:rPr>
        <w:t>Section 2.07(e)(i)</w:t>
      </w:r>
      <w:r>
        <w:rPr>
          <w:rFonts w:ascii="Arial" w:cs="Arial" w:eastAsia="Arial" w:hAnsi="Arial"/>
          <w:sz w:val="18"/>
          <w:szCs w:val="18"/>
          <w:color w:val="auto"/>
        </w:rPr>
        <w:t xml:space="preserve"> in cash into the Collection Account or the delivery by the Borrower of a Substitute Eligible Loan Asset for each Warranty Loan Asset under </w:t>
      </w:r>
      <w:r>
        <w:rPr>
          <w:rFonts w:ascii="Arial" w:cs="Arial" w:eastAsia="Arial" w:hAnsi="Arial"/>
          <w:sz w:val="18"/>
          <w:szCs w:val="18"/>
          <w:u w:val="single" w:color="auto"/>
          <w:color w:val="auto"/>
        </w:rPr>
        <w:t>Section 2.07(e)(i)</w:t>
      </w:r>
      <w:r>
        <w:rPr>
          <w:rFonts w:ascii="Arial" w:cs="Arial" w:eastAsia="Arial" w:hAnsi="Arial"/>
          <w:sz w:val="18"/>
          <w:szCs w:val="18"/>
          <w:color w:val="auto"/>
        </w:rPr>
        <w:t xml:space="preserve"> pursuant to an Optional Sale set forth in </w:t>
      </w:r>
      <w:r>
        <w:rPr>
          <w:rFonts w:ascii="Arial" w:cs="Arial" w:eastAsia="Arial" w:hAnsi="Arial"/>
          <w:sz w:val="18"/>
          <w:szCs w:val="18"/>
          <w:u w:val="single" w:color="auto"/>
          <w:color w:val="auto"/>
        </w:rPr>
        <w:t>Section 2.07(c)(ii)</w:t>
      </w:r>
      <w:r>
        <w:rPr>
          <w:rFonts w:ascii="Arial" w:cs="Arial" w:eastAsia="Arial" w:hAnsi="Arial"/>
          <w:sz w:val="18"/>
          <w:szCs w:val="18"/>
          <w:color w:val="auto"/>
        </w:rPr>
        <w:t xml:space="preserve"> and the fulfillment of the other terms and conditions set forth in </w:t>
      </w:r>
      <w:r>
        <w:rPr>
          <w:rFonts w:ascii="Arial" w:cs="Arial" w:eastAsia="Arial" w:hAnsi="Arial"/>
          <w:sz w:val="18"/>
          <w:szCs w:val="18"/>
          <w:u w:val="single" w:color="auto"/>
          <w:color w:val="auto"/>
        </w:rPr>
        <w:t>Section 2.07(e)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 or</w:t>
      </w:r>
    </w:p>
    <w:p>
      <w:pPr>
        <w:spacing w:after="0" w:line="74" w:lineRule="exact"/>
        <w:rPr>
          <w:rFonts w:ascii="Arial" w:cs="Arial" w:eastAsia="Arial" w:hAnsi="Arial"/>
          <w:sz w:val="18"/>
          <w:szCs w:val="18"/>
          <w:color w:val="auto"/>
        </w:rPr>
      </w:pPr>
    </w:p>
    <w:p>
      <w:pPr>
        <w:ind w:left="440" w:right="360" w:firstLine="421"/>
        <w:spacing w:after="0" w:line="275" w:lineRule="auto"/>
        <w:tabs>
          <w:tab w:leader="none" w:pos="111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 xml:space="preserve">the recordation of the dividend of Loan Assets subject to the Loan Asset Dividend on the books and records of the Borrower and the fulfillment of the other terms and conditions set forth in </w:t>
      </w:r>
      <w:r>
        <w:rPr>
          <w:rFonts w:ascii="Arial" w:cs="Arial" w:eastAsia="Arial" w:hAnsi="Arial"/>
          <w:sz w:val="18"/>
          <w:szCs w:val="18"/>
          <w:u w:val="single" w:color="auto"/>
          <w:color w:val="auto"/>
        </w:rPr>
        <w:t>Section 2.07(d)</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(such date of fulfillment, a “</w:t>
      </w:r>
      <w:r>
        <w:rPr>
          <w:rFonts w:ascii="Arial" w:cs="Arial" w:eastAsia="Arial" w:hAnsi="Arial"/>
          <w:sz w:val="18"/>
          <w:szCs w:val="18"/>
          <w:u w:val="single" w:color="auto"/>
          <w:color w:val="auto"/>
        </w:rPr>
        <w:t>Release Date</w:t>
      </w:r>
      <w:r>
        <w:rPr>
          <w:rFonts w:ascii="Arial" w:cs="Arial" w:eastAsia="Arial" w:hAnsi="Arial"/>
          <w:sz w:val="18"/>
          <w:szCs w:val="18"/>
          <w:color w:val="auto"/>
        </w:rPr>
        <w:t>”),</w:t>
      </w:r>
    </w:p>
    <w:p>
      <w:pPr>
        <w:spacing w:after="0" w:line="2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then, the Warranty Loan Asset, or the Loan Assets and related Portfolio Assets subject of the Substitution, Discretionary Sale, Optional Sale or Loan Asset Dividend, as the case may be, shall be removed from the Collateral Portfolio and, as applicable, the Substitute Eligible Loan Asset and related Portfolio Assets shall be included in the Collateral Portfolio. Subject to compliance by the Borrower with the immediately prior sentence, on the Release Date of each subject Loan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460" w:top="273" w:right="479" w:bottom="1440" w:gutter="0" w:footer="0" w:header="0"/>
        </w:sectPr>
      </w:pPr>
    </w:p>
    <w:bookmarkStart w:id="144" w:name="page145"/>
    <w:bookmarkEnd w:id="144"/>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Asset or Warranty Loan Asset, as the case may be, the Collateral Agent, for the benefit of the Secured Parties, shall automatically and without further action be deemed to release to the Borrower, without recourse, representation or warranty of any kind or nature, all the right, title and interest and any Lien of the Collateral Agent, for the benefit of the Secured Parties in, to and under the Loan Asset subject of the Substitution, Discretionary Sale, Optional Sale or Loan Asset Dividend or the Warranty Loan Asset under this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any related Portfolio Assets and all future monies due or to become due with respect thereto.</w:t>
      </w:r>
    </w:p>
    <w:p>
      <w:pPr>
        <w:spacing w:after="0" w:line="83" w:lineRule="exact"/>
        <w:rPr>
          <w:sz w:val="20"/>
          <w:szCs w:val="20"/>
          <w:color w:val="auto"/>
        </w:rPr>
      </w:pPr>
    </w:p>
    <w:p>
      <w:pPr>
        <w:ind w:firstLine="989"/>
        <w:spacing w:after="0" w:line="284" w:lineRule="auto"/>
        <w:tabs>
          <w:tab w:leader="none" w:pos="1240" w:val="left"/>
        </w:tabs>
        <w:numPr>
          <w:ilvl w:val="1"/>
          <w:numId w:val="105"/>
        </w:numPr>
        <w:rPr>
          <w:rFonts w:ascii="Arial" w:cs="Arial" w:eastAsia="Arial" w:hAnsi="Arial"/>
          <w:sz w:val="17"/>
          <w:szCs w:val="17"/>
          <w:color w:val="auto"/>
        </w:rPr>
      </w:pPr>
      <w:r>
        <w:rPr>
          <w:rFonts w:ascii="Arial" w:cs="Arial" w:eastAsia="Arial" w:hAnsi="Arial"/>
          <w:sz w:val="17"/>
          <w:szCs w:val="17"/>
          <w:u w:val="single" w:color="auto"/>
          <w:color w:val="auto"/>
        </w:rPr>
        <w:t>Conditions to Sales, Substitutions, Repurchases and Loan Asset Dividend</w:t>
      </w:r>
      <w:r>
        <w:rPr>
          <w:rFonts w:ascii="Arial" w:cs="Arial" w:eastAsia="Arial" w:hAnsi="Arial"/>
          <w:sz w:val="17"/>
          <w:szCs w:val="17"/>
          <w:color w:val="auto"/>
        </w:rPr>
        <w:t xml:space="preserve">. Any Substitution, Discretionary Sale, Optional Sale or Loan Asset Dividend, or transfer of a Warranty Loan Asset effected pursuant to </w:t>
      </w:r>
      <w:r>
        <w:rPr>
          <w:rFonts w:ascii="Arial" w:cs="Arial" w:eastAsia="Arial" w:hAnsi="Arial"/>
          <w:sz w:val="17"/>
          <w:szCs w:val="17"/>
          <w:u w:val="single" w:color="auto"/>
          <w:color w:val="auto"/>
        </w:rPr>
        <w:t>Sections 2.07(a)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shall be subject to the satisfaction of the following conditions (as certified in writing to the Administrative Agent and Collateral Agent by the Borrower):</w:t>
      </w:r>
    </w:p>
    <w:p>
      <w:pPr>
        <w:spacing w:after="0" w:line="58" w:lineRule="exact"/>
        <w:rPr>
          <w:rFonts w:ascii="Arial" w:cs="Arial" w:eastAsia="Arial" w:hAnsi="Arial"/>
          <w:sz w:val="17"/>
          <w:szCs w:val="17"/>
          <w:color w:val="auto"/>
        </w:rPr>
      </w:pPr>
    </w:p>
    <w:p>
      <w:pPr>
        <w:ind w:left="440" w:right="40" w:firstLine="421"/>
        <w:spacing w:after="0" w:line="262" w:lineRule="auto"/>
        <w:tabs>
          <w:tab w:leader="none" w:pos="10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deliver a Borrowing Base Certificate to the Administrative Agent in connection with (and reflecting) such sale, substitution or repurchase demonstrating (other than in the case of the transfer of a Warranty Loan Asset) that no Borrowing Base Deficiency will exist following such sale, substitution or repurchase;</w:t>
      </w:r>
    </w:p>
    <w:p>
      <w:pPr>
        <w:spacing w:after="0" w:line="74" w:lineRule="exact"/>
        <w:rPr>
          <w:rFonts w:ascii="Arial" w:cs="Arial" w:eastAsia="Arial" w:hAnsi="Arial"/>
          <w:sz w:val="18"/>
          <w:szCs w:val="18"/>
          <w:color w:val="auto"/>
        </w:rPr>
      </w:pPr>
    </w:p>
    <w:p>
      <w:pPr>
        <w:ind w:left="1120" w:hanging="259"/>
        <w:spacing w:after="0"/>
        <w:tabs>
          <w:tab w:leader="none" w:pos="11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deliver a list of all Loan Assets to be sold, substituted, repurchased or subject to dividend;</w:t>
      </w:r>
    </w:p>
    <w:p>
      <w:pPr>
        <w:spacing w:after="0" w:line="115" w:lineRule="exact"/>
        <w:rPr>
          <w:rFonts w:ascii="Arial" w:cs="Arial" w:eastAsia="Arial" w:hAnsi="Arial"/>
          <w:sz w:val="18"/>
          <w:szCs w:val="18"/>
          <w:color w:val="auto"/>
        </w:rPr>
      </w:pPr>
    </w:p>
    <w:p>
      <w:pPr>
        <w:ind w:left="440" w:right="380" w:firstLine="421"/>
        <w:spacing w:after="0" w:line="275" w:lineRule="auto"/>
        <w:tabs>
          <w:tab w:leader="none" w:pos="117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selection procedures adverse to the interests of the Administrative Agent, the Lender Agents or the Lenders were utilized by the Borrower in the selection of the Loan Assets to be sold, repurchased, substituted or subject to dividend;</w:t>
      </w:r>
    </w:p>
    <w:p>
      <w:pPr>
        <w:spacing w:after="0" w:line="63" w:lineRule="exact"/>
        <w:rPr>
          <w:rFonts w:ascii="Arial" w:cs="Arial" w:eastAsia="Arial" w:hAnsi="Arial"/>
          <w:sz w:val="18"/>
          <w:szCs w:val="18"/>
          <w:color w:val="auto"/>
        </w:rPr>
      </w:pPr>
    </w:p>
    <w:p>
      <w:pPr>
        <w:ind w:left="440" w:right="260" w:firstLine="421"/>
        <w:spacing w:after="0" w:line="262" w:lineRule="auto"/>
        <w:tabs>
          <w:tab w:leader="none" w:pos="11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Except with respect to (x) an Optional Sale requiring the additional notice set forth in </w:t>
      </w:r>
      <w:r>
        <w:rPr>
          <w:rFonts w:ascii="Arial" w:cs="Arial" w:eastAsia="Arial" w:hAnsi="Arial"/>
          <w:sz w:val="18"/>
          <w:szCs w:val="18"/>
          <w:u w:val="single" w:color="auto"/>
          <w:color w:val="auto"/>
        </w:rPr>
        <w:t>Section 2.07(c)</w:t>
      </w:r>
      <w:r>
        <w:rPr>
          <w:rFonts w:ascii="Arial" w:cs="Arial" w:eastAsia="Arial" w:hAnsi="Arial"/>
          <w:sz w:val="18"/>
          <w:szCs w:val="18"/>
          <w:color w:val="auto"/>
        </w:rPr>
        <w:t xml:space="preserve"> and (y) a Loan Asset Dividend requiring the additional notice set forth in </w:t>
      </w:r>
      <w:r>
        <w:rPr>
          <w:rFonts w:ascii="Arial" w:cs="Arial" w:eastAsia="Arial" w:hAnsi="Arial"/>
          <w:sz w:val="18"/>
          <w:szCs w:val="18"/>
          <w:u w:val="single" w:color="auto"/>
          <w:color w:val="auto"/>
        </w:rPr>
        <w:t>Section 2.07(d)</w:t>
      </w:r>
      <w:r>
        <w:rPr>
          <w:rFonts w:ascii="Arial" w:cs="Arial" w:eastAsia="Arial" w:hAnsi="Arial"/>
          <w:sz w:val="18"/>
          <w:szCs w:val="18"/>
          <w:color w:val="auto"/>
        </w:rPr>
        <w:t>, the Borrower shall give two Business Day’s notice of such sale, substitution or repurchase;</w:t>
      </w:r>
    </w:p>
    <w:p>
      <w:pPr>
        <w:spacing w:after="0" w:line="74" w:lineRule="exact"/>
        <w:rPr>
          <w:rFonts w:ascii="Arial" w:cs="Arial" w:eastAsia="Arial" w:hAnsi="Arial"/>
          <w:sz w:val="18"/>
          <w:szCs w:val="18"/>
          <w:color w:val="auto"/>
        </w:rPr>
      </w:pPr>
    </w:p>
    <w:p>
      <w:pPr>
        <w:ind w:left="440" w:right="220" w:firstLine="421"/>
        <w:spacing w:after="0" w:line="275" w:lineRule="auto"/>
        <w:tabs>
          <w:tab w:leader="none" w:pos="11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amount to be deposited into the Collection Account in connection with any sale, substitution or repurchase;</w:t>
      </w:r>
    </w:p>
    <w:p>
      <w:pPr>
        <w:spacing w:after="0" w:line="63" w:lineRule="exact"/>
        <w:rPr>
          <w:rFonts w:ascii="Arial" w:cs="Arial" w:eastAsia="Arial" w:hAnsi="Arial"/>
          <w:sz w:val="18"/>
          <w:szCs w:val="18"/>
          <w:color w:val="auto"/>
        </w:rPr>
      </w:pPr>
    </w:p>
    <w:p>
      <w:pPr>
        <w:ind w:left="440" w:right="120" w:firstLine="421"/>
        <w:spacing w:after="0" w:line="275" w:lineRule="auto"/>
        <w:tabs>
          <w:tab w:leader="none" w:pos="11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4.03</w:t>
      </w:r>
      <w:r>
        <w:rPr>
          <w:rFonts w:ascii="Arial" w:cs="Arial" w:eastAsia="Arial" w:hAnsi="Arial"/>
          <w:sz w:val="18"/>
          <w:szCs w:val="18"/>
          <w:color w:val="auto"/>
        </w:rPr>
        <w:t xml:space="preserve"> hereof shall continue to be correct in all material respects, except to the extent relating to an earlier date;</w:t>
      </w:r>
    </w:p>
    <w:p>
      <w:pPr>
        <w:spacing w:after="0" w:line="63" w:lineRule="exact"/>
        <w:rPr>
          <w:rFonts w:ascii="Arial" w:cs="Arial" w:eastAsia="Arial" w:hAnsi="Arial"/>
          <w:sz w:val="18"/>
          <w:szCs w:val="18"/>
          <w:color w:val="auto"/>
        </w:rPr>
      </w:pPr>
    </w:p>
    <w:p>
      <w:pPr>
        <w:ind w:left="440" w:firstLine="421"/>
        <w:spacing w:after="0" w:line="275" w:lineRule="auto"/>
        <w:tabs>
          <w:tab w:leader="none" w:pos="121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any repayment of Advances Outstanding in connection with any sale, substitution or repurchase of Loan Assets hereunder shall comply with the requirements set forth in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40" w:firstLine="421"/>
        <w:spacing w:after="0" w:line="275" w:lineRule="auto"/>
        <w:tabs>
          <w:tab w:leader="none" w:pos="12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any Warranty Loan Asset, the Borrower shall have made a claim under Section 6.1 of the Contribution Agreement for a repurchase therefor;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20"/>
          </w:cols>
          <w:pgMar w:left="460" w:top="273" w:right="519" w:bottom="1440" w:gutter="0" w:footer="0" w:header="0"/>
        </w:sectPr>
      </w:pPr>
    </w:p>
    <w:bookmarkStart w:id="145" w:name="page146"/>
    <w:bookmarkEnd w:id="145"/>
    <w:p>
      <w:pPr>
        <w:jc w:val="both"/>
        <w:ind w:left="420" w:firstLine="421"/>
        <w:spacing w:after="0" w:line="262" w:lineRule="auto"/>
        <w:tabs>
          <w:tab w:leader="none" w:pos="11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except with respect to a transfer of a Warranty Loan Asset, if a Suspension Period is continuing, the Administrative Agent has consented in writing to such sale, substitution or repurchase, as applicable,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may a Loan Asset Dividend occur during a Suspension Period);</w:t>
      </w:r>
    </w:p>
    <w:p>
      <w:pPr>
        <w:spacing w:after="0" w:line="74" w:lineRule="exact"/>
        <w:rPr>
          <w:rFonts w:ascii="Arial" w:cs="Arial" w:eastAsia="Arial" w:hAnsi="Arial"/>
          <w:sz w:val="18"/>
          <w:szCs w:val="18"/>
          <w:color w:val="auto"/>
        </w:rPr>
      </w:pPr>
    </w:p>
    <w:p>
      <w:pPr>
        <w:ind w:left="420" w:right="100" w:firstLine="421"/>
        <w:spacing w:after="0" w:line="258" w:lineRule="auto"/>
        <w:tabs>
          <w:tab w:leader="none" w:pos="10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with respect to a transfer of a Warranty Loan Asset, if a CQT Non-Qualification Period is continuing, the Servicer shall have delivered to the Administrative Agent written certification demonstrating that such Substitution, Discretionary Sale or Optional Sale, as the case may be, results in Collateral Quality Improvement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no event may a Loan Asset Dividend occur during a CQT Non-Qualification Period);</w:t>
      </w:r>
    </w:p>
    <w:p>
      <w:pPr>
        <w:spacing w:after="0" w:line="77" w:lineRule="exact"/>
        <w:rPr>
          <w:rFonts w:ascii="Arial" w:cs="Arial" w:eastAsia="Arial" w:hAnsi="Arial"/>
          <w:sz w:val="18"/>
          <w:szCs w:val="18"/>
          <w:color w:val="auto"/>
        </w:rPr>
      </w:pPr>
    </w:p>
    <w:p>
      <w:pPr>
        <w:jc w:val="both"/>
        <w:ind w:left="420" w:right="20" w:firstLine="421"/>
        <w:spacing w:after="0" w:line="277" w:lineRule="auto"/>
        <w:tabs>
          <w:tab w:leader="none" w:pos="114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Borrower and the Servicer (on behalf of the Borrower) shall pay the reasonable legal fees and expenses of the Administrative Agent, the Collateral Agent and the Collateral Custodian in connection with any such sale, substitution, repurchase or dividend (including, but not limited to, expenses incurred in connection with the release of the Lien of the Collateral Agent, on behalf of the Secured Parties, and any other party having an interest in the Loan Asset in connection with such sale, substitution, repurchase or dividend);</w:t>
      </w:r>
    </w:p>
    <w:p>
      <w:pPr>
        <w:spacing w:after="0" w:line="65" w:lineRule="exact"/>
        <w:rPr>
          <w:rFonts w:ascii="Arial" w:cs="Arial" w:eastAsia="Arial" w:hAnsi="Arial"/>
          <w:sz w:val="17"/>
          <w:szCs w:val="17"/>
          <w:color w:val="auto"/>
        </w:rPr>
      </w:pPr>
    </w:p>
    <w:p>
      <w:pPr>
        <w:ind w:left="420" w:right="260" w:firstLine="421"/>
        <w:spacing w:after="0" w:line="275" w:lineRule="auto"/>
        <w:tabs>
          <w:tab w:leader="none" w:pos="119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a proposed Loan Asset Dividend, the Borrower and the Servicer shall have delivered, not more than five days’ and at least 2 days’ prior to the related Loan Asset Dividend Date, a Loan Asset Dividend Certificate; and</w:t>
      </w:r>
    </w:p>
    <w:p>
      <w:pPr>
        <w:spacing w:after="0" w:line="63" w:lineRule="exact"/>
        <w:rPr>
          <w:rFonts w:ascii="Arial" w:cs="Arial" w:eastAsia="Arial" w:hAnsi="Arial"/>
          <w:sz w:val="18"/>
          <w:szCs w:val="18"/>
          <w:color w:val="auto"/>
        </w:rPr>
      </w:pPr>
    </w:p>
    <w:p>
      <w:pPr>
        <w:jc w:val="both"/>
        <w:ind w:left="420" w:right="220" w:firstLine="421"/>
        <w:spacing w:after="0" w:line="262" w:lineRule="auto"/>
        <w:tabs>
          <w:tab w:leader="none" w:pos="124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respect to a proposed Loan Asset Dividend, following the effectuation of the Loan Asset Dividend on the Loan Asset Dividend Date, the Administrative Agent shall be satisfied that (1) each Collateral Quality Test has been either maintained or improved, and (2) the Loan Equity Cushion has been maintained.</w:t>
      </w:r>
    </w:p>
    <w:p>
      <w:pPr>
        <w:spacing w:after="0" w:line="74" w:lineRule="exact"/>
        <w:rPr>
          <w:rFonts w:ascii="Arial" w:cs="Arial" w:eastAsia="Arial" w:hAnsi="Arial"/>
          <w:sz w:val="18"/>
          <w:szCs w:val="18"/>
          <w:color w:val="auto"/>
        </w:rPr>
      </w:pPr>
    </w:p>
    <w:p>
      <w:pPr>
        <w:ind w:left="-20" w:right="40" w:firstLine="989"/>
        <w:spacing w:after="0" w:line="292" w:lineRule="auto"/>
        <w:tabs>
          <w:tab w:leader="none" w:pos="1220"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Affiliate Transactions</w:t>
      </w:r>
      <w:r>
        <w:rPr>
          <w:rFonts w:ascii="Arial" w:cs="Arial" w:eastAsia="Arial" w:hAnsi="Arial"/>
          <w:sz w:val="16"/>
          <w:szCs w:val="16"/>
          <w:color w:val="auto"/>
        </w:rPr>
        <w:t xml:space="preserve">. Notwithstanding anything to the contrary set forth herein or in any other Transaction Document, the Transferor (or an Affiliate thereof) shall not reacquire from the Borrower and the Borrower shall not transfer to the Transferor or to Affiliates of the Transferor, and none of the Transferor nor any Affiliates thereof will have a right or ability to purchase, the Loan Assets unless (i) such transfer is pursuant to the terms of the Contribution Agreement applicable to Warranty Loan Assets, or on an arms’ length basis and for fair market value in cash, (ii) such transfer is pursuant to (and in compliance with the terms, conditions and requirements set forth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hereof, and (iii) to the extent any Loan Asset is sold for less than the Outstanding Loan Balance thereof in cash, the prior written consent of the Administrative Agent has been obtained.</w:t>
      </w:r>
    </w:p>
    <w:p>
      <w:pPr>
        <w:spacing w:after="0" w:line="54" w:lineRule="exact"/>
        <w:rPr>
          <w:rFonts w:ascii="Arial" w:cs="Arial" w:eastAsia="Arial" w:hAnsi="Arial"/>
          <w:sz w:val="16"/>
          <w:szCs w:val="16"/>
          <w:color w:val="auto"/>
        </w:rPr>
      </w:pPr>
    </w:p>
    <w:p>
      <w:pPr>
        <w:ind w:left="-20" w:right="20" w:firstLine="989"/>
        <w:spacing w:after="0" w:line="300" w:lineRule="auto"/>
        <w:tabs>
          <w:tab w:leader="none" w:pos="1181" w:val="left"/>
        </w:tabs>
        <w:numPr>
          <w:ilvl w:val="1"/>
          <w:numId w:val="107"/>
        </w:numPr>
        <w:rPr>
          <w:rFonts w:ascii="Arial" w:cs="Arial" w:eastAsia="Arial" w:hAnsi="Arial"/>
          <w:sz w:val="16"/>
          <w:szCs w:val="16"/>
          <w:color w:val="auto"/>
        </w:rPr>
      </w:pPr>
      <w:r>
        <w:rPr>
          <w:rFonts w:ascii="Arial" w:cs="Arial" w:eastAsia="Arial" w:hAnsi="Arial"/>
          <w:sz w:val="16"/>
          <w:szCs w:val="16"/>
          <w:u w:val="single" w:color="auto"/>
          <w:color w:val="auto"/>
        </w:rPr>
        <w:t>Limitations on Repurchases and Substitutions</w:t>
      </w:r>
      <w:r>
        <w:rPr>
          <w:rFonts w:ascii="Arial" w:cs="Arial" w:eastAsia="Arial" w:hAnsi="Arial"/>
          <w:sz w:val="16"/>
          <w:szCs w:val="16"/>
          <w:color w:val="auto"/>
        </w:rPr>
        <w:t xml:space="preserve">. (i) The Outstanding Principal Balance of all Loan Assets (other than Warranty Loan Assets) sold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substituted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during the 12-month period immediately preceding the proposed date of sale or substitution (or such lesser number of months as shall have elapsed as of such date) does not exceed 20% of the highest aggregate Outstanding Principal Balance of any month during such 12-month period (or such lesser number of months as shall have elapsed as of such date).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40"/>
          </w:cols>
          <w:pgMar w:left="480" w:top="273" w:right="479" w:bottom="1440" w:gutter="0" w:footer="0" w:header="0"/>
        </w:sectPr>
      </w:pPr>
    </w:p>
    <w:bookmarkStart w:id="146" w:name="page147"/>
    <w:bookmarkEnd w:id="146"/>
    <w:p>
      <w:pPr>
        <w:ind w:left="440" w:right="200" w:firstLine="421"/>
        <w:spacing w:after="0" w:line="289" w:lineRule="auto"/>
        <w:tabs>
          <w:tab w:leader="none" w:pos="1125" w:val="left"/>
        </w:tabs>
        <w:numPr>
          <w:ilvl w:val="0"/>
          <w:numId w:val="1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Outstanding Principal Balance of all Loan Assets subject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of the definition of “Value Adjustment Event” (other than Warranty Loan Assets) sold or transferred to the Transferor (or an Affiliate thereof) or substituted pursuant to </w:t>
      </w:r>
      <w:r>
        <w:rPr>
          <w:rFonts w:ascii="Arial" w:cs="Arial" w:eastAsia="Arial" w:hAnsi="Arial"/>
          <w:sz w:val="16"/>
          <w:szCs w:val="16"/>
          <w:u w:val="single" w:color="auto"/>
          <w:color w:val="auto"/>
        </w:rPr>
        <w:t>Section 2.07(a)</w:t>
      </w:r>
      <w:r>
        <w:rPr>
          <w:rFonts w:ascii="Arial" w:cs="Arial" w:eastAsia="Arial" w:hAnsi="Arial"/>
          <w:sz w:val="16"/>
          <w:szCs w:val="16"/>
          <w:color w:val="auto"/>
        </w:rPr>
        <w:t xml:space="preserve"> during the</w:t>
      </w:r>
    </w:p>
    <w:p>
      <w:pPr>
        <w:spacing w:after="0" w:line="1" w:lineRule="exact"/>
        <w:rPr>
          <w:rFonts w:ascii="Arial" w:cs="Arial" w:eastAsia="Arial" w:hAnsi="Arial"/>
          <w:sz w:val="16"/>
          <w:szCs w:val="16"/>
          <w:color w:val="auto"/>
        </w:rPr>
      </w:pP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12-month period immediately preceding the proposed date of sale or substitution (or such lesser number of months as shall have elapsed as of such date) does not exceed 10% of the highest aggregate Outstanding Principal Balance of any month during such 12-month period (or such lesser number of months as shall have elapsed as of such date).</w:t>
      </w:r>
    </w:p>
    <w:p>
      <w:pPr>
        <w:spacing w:after="0" w:line="83" w:lineRule="exact"/>
        <w:rPr>
          <w:rFonts w:ascii="Arial" w:cs="Arial" w:eastAsia="Arial" w:hAnsi="Arial"/>
          <w:sz w:val="16"/>
          <w:szCs w:val="16"/>
          <w:color w:val="auto"/>
        </w:rPr>
      </w:pPr>
    </w:p>
    <w:p>
      <w:pPr>
        <w:ind w:left="440" w:right="140" w:firstLine="421"/>
        <w:spacing w:after="0" w:line="274" w:lineRule="auto"/>
        <w:tabs>
          <w:tab w:leader="none" w:pos="1174"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True Contribution</w:t>
      </w:r>
      <w:r>
        <w:rPr>
          <w:rFonts w:ascii="Arial" w:cs="Arial" w:eastAsia="Arial" w:hAnsi="Arial"/>
          <w:sz w:val="17"/>
          <w:szCs w:val="17"/>
          <w:color w:val="auto"/>
        </w:rPr>
        <w:t xml:space="preserve">. Notwithstanding anything in this </w:t>
      </w:r>
      <w:r>
        <w:rPr>
          <w:rFonts w:ascii="Arial" w:cs="Arial" w:eastAsia="Arial" w:hAnsi="Arial"/>
          <w:sz w:val="17"/>
          <w:szCs w:val="17"/>
          <w:u w:val="single" w:color="auto"/>
          <w:color w:val="auto"/>
        </w:rPr>
        <w:t>Section 2.07</w:t>
      </w:r>
      <w:r>
        <w:rPr>
          <w:rFonts w:ascii="Arial" w:cs="Arial" w:eastAsia="Arial" w:hAnsi="Arial"/>
          <w:sz w:val="17"/>
          <w:szCs w:val="17"/>
          <w:color w:val="auto"/>
        </w:rPr>
        <w:t>, the Borrower shall not, and the Servicer shall not on the Borrower’s behalf, purchase, sell or substitute any Loan Asset in contravention with the assumptions set forth in the legal opinion of (i) Latham &amp; Watkins LLP, as special counsel to the Borrower, issued in connection with the Transaction Documents and relating to the issues of substantive consolidation and “true contribution” of the Loan Assets, and (ii) Richards, Layton &amp; Finger, P.A., as special counsel to the Borrower, issued in connection with the Transaction Documents and relating to the issue of “true contribution” of the Loan Assets.</w:t>
      </w:r>
    </w:p>
    <w:p>
      <w:pPr>
        <w:spacing w:after="0" w:line="174" w:lineRule="exact"/>
        <w:rPr>
          <w:sz w:val="20"/>
          <w:szCs w:val="20"/>
          <w:color w:val="auto"/>
        </w:rPr>
      </w:pPr>
    </w:p>
    <w:p>
      <w:pPr>
        <w:ind w:right="60" w:firstLine="987"/>
        <w:spacing w:after="0" w:line="285"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Payments and Computations, Etc.</w:t>
      </w:r>
      <w:r>
        <w:rPr>
          <w:rFonts w:ascii="Arial" w:cs="Arial" w:eastAsia="Arial" w:hAnsi="Arial"/>
          <w:sz w:val="16"/>
          <w:szCs w:val="16"/>
          <w:color w:val="auto"/>
        </w:rPr>
        <w:t xml:space="preserve"> (a) All amounts to be paid or deposited by the Borrower or the Servicer hereunder shall be paid or deposited in accordance with the terms hereof so that funds are received by the Lenders no later than 1:00 p.m. on the day when due in Dollars (except, with respect to Foreign Currency Loan Assets not subject to Hedging Agreements, which shall be paid or deposited in the related Foreign Currency) in immediately available funds to the Collection Account, the URCA Account or such other account as is designated by the Administrative Agent. The Borrower or the Servicer, as applicable, shall, to the extent permitted by law, pay to the Secured Parties interest on all amounts not paid or deposited when due to any of the Secured Parties hereunder at 4.0% per annum above the Base Rate (other than with respect to any Advances outstanding, which shall accrue at the Yield Rate), payable on demand, from the date of such nonpayment until such amount is paid in full (as well after as before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interest rate shall not at any time exceed the maximum rate permitted by Applicable Law. Any Obligation hereunder shall not be reduced by any distribution of any portion of Available Collections if at any time such distribution is rescinded or required to be returned by any Lender to the Borrower or any other Person for any reason. All computations of interest and all computations of Yield and other fees hereunder shall be made on the basis of a year of 360 days for the actual number of days (including the first but excluding the last day) elapsed, other than calculations with respect to the Base Rate, which shall be based on a year consisting of 365 or 366 days, as applicable.</w:t>
      </w:r>
    </w:p>
    <w:p>
      <w:pPr>
        <w:spacing w:after="0" w:line="66" w:lineRule="exact"/>
        <w:rPr>
          <w:sz w:val="20"/>
          <w:szCs w:val="20"/>
          <w:color w:val="auto"/>
        </w:rPr>
      </w:pPr>
    </w:p>
    <w:p>
      <w:pPr>
        <w:jc w:val="both"/>
        <w:ind w:right="320" w:firstLine="989"/>
        <w:spacing w:after="0" w:line="262" w:lineRule="auto"/>
        <w:tabs>
          <w:tab w:leader="none" w:pos="1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Whenever any payment hereunder shall be stated to be due on a day other than a Business Day, such payment shall be made on the next succeeding Business Day, and such extension of time shall in such case be included in the computation of payment of Yield or any fee payable hereunder, as the case may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460" w:top="273" w:right="499" w:bottom="1440" w:gutter="0" w:footer="0" w:header="0"/>
        </w:sectPr>
      </w:pPr>
    </w:p>
    <w:bookmarkStart w:id="147" w:name="page148"/>
    <w:bookmarkEnd w:id="147"/>
    <w:p>
      <w:pPr>
        <w:ind w:right="60" w:firstLine="989"/>
        <w:spacing w:after="0" w:line="268" w:lineRule="auto"/>
        <w:tabs>
          <w:tab w:leader="none" w:pos="1230"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If any Advance requested by the Borrower and approved by the Administrative Agent and the Lender Agents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is not for any reason whatsoever, except as a result of the gross negligence or willful misconduct of, or failure to fund such Advance on the part of, the Lenders, the Administrative Agent or an Affiliate thereof as determined in a final decision by a court of competent jurisdiction, made or effectuated, as the case may be, on the date specified therefor, the Borrower shall indemnify such Lender against any loss, cost or expense incurred by such Lender related thereto (other than any such loss, cost or expense solely due to the gross negligence or willful misconduct or failure to fund such Advance on the part of the Lenders, the Administrative Agent or an Affiliate thereof as determined in a final decision by a court of competent jurisdiction), including, without limitation, any loss (including cost of funds and reasonable out-of-pocket expenses but excluding lost profits), cost or expense incurred by reason of the liquidation or reemployment of deposits or other funds acquired by such Lender to fund Advances or maintain the Advances. Any such Lender shall provide to the Borrower documentation setting forth the amounts of any loss, cost or expense referred to in the previous sentence, such documentation to be conclusive absent manifest error.</w:t>
      </w:r>
    </w:p>
    <w:p>
      <w:pPr>
        <w:spacing w:after="0" w:line="182" w:lineRule="exact"/>
        <w:rPr>
          <w:sz w:val="20"/>
          <w:szCs w:val="20"/>
          <w:color w:val="auto"/>
        </w:rPr>
      </w:pPr>
    </w:p>
    <w:p>
      <w:pPr>
        <w:ind w:right="200" w:firstLine="987"/>
        <w:spacing w:after="0" w:line="277"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Undrawn Fee</w:t>
      </w:r>
      <w:r>
        <w:rPr>
          <w:rFonts w:ascii="Arial" w:cs="Arial" w:eastAsia="Arial" w:hAnsi="Arial"/>
          <w:sz w:val="17"/>
          <w:szCs w:val="17"/>
          <w:color w:val="auto"/>
        </w:rPr>
        <w:t xml:space="preserve">. (a) The Borrower shall pay to the Administrative Agent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and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each Lender, an undrawn fee (the “</w:t>
      </w:r>
      <w:r>
        <w:rPr>
          <w:rFonts w:ascii="Arial" w:cs="Arial" w:eastAsia="Arial" w:hAnsi="Arial"/>
          <w:sz w:val="17"/>
          <w:szCs w:val="17"/>
          <w:u w:val="single" w:color="auto"/>
          <w:color w:val="auto"/>
        </w:rPr>
        <w:t>Undrawn Fee</w:t>
      </w:r>
      <w:r>
        <w:rPr>
          <w:rFonts w:ascii="Arial" w:cs="Arial" w:eastAsia="Arial" w:hAnsi="Arial"/>
          <w:sz w:val="17"/>
          <w:szCs w:val="17"/>
          <w:color w:val="auto"/>
        </w:rPr>
        <w:t xml:space="preserve">”) payable in arrears for each Remittance Period, equal to the sum of the products for each day during such Remittance Period of (i) one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360, (ii) the applicable Undrawn Fee Rate on such day, and (iii) the Aggregate Total Commitments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Advances Outstanding on such day (such amount, the “</w:t>
      </w:r>
      <w:r>
        <w:rPr>
          <w:rFonts w:ascii="Arial" w:cs="Arial" w:eastAsia="Arial" w:hAnsi="Arial"/>
          <w:sz w:val="17"/>
          <w:szCs w:val="17"/>
          <w:u w:val="single" w:color="auto"/>
          <w:color w:val="auto"/>
        </w:rPr>
        <w:t>Unused Portion</w:t>
      </w:r>
      <w:r>
        <w:rPr>
          <w:rFonts w:ascii="Arial" w:cs="Arial" w:eastAsia="Arial" w:hAnsi="Arial"/>
          <w:sz w:val="17"/>
          <w:szCs w:val="17"/>
          <w:color w:val="auto"/>
        </w:rPr>
        <w:t>”).</w:t>
      </w:r>
    </w:p>
    <w:p>
      <w:pPr>
        <w:spacing w:after="0" w:line="172" w:lineRule="exact"/>
        <w:rPr>
          <w:sz w:val="20"/>
          <w:szCs w:val="20"/>
          <w:color w:val="auto"/>
        </w:rPr>
      </w:pPr>
    </w:p>
    <w:p>
      <w:pPr>
        <w:ind w:firstLine="987"/>
        <w:spacing w:after="0" w:line="266"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u w:val="single" w:color="auto"/>
          <w:color w:val="auto"/>
        </w:rPr>
        <w:t>Increased Costs; Capital Adequacy</w:t>
      </w:r>
      <w:r>
        <w:rPr>
          <w:rFonts w:ascii="Arial" w:cs="Arial" w:eastAsia="Arial" w:hAnsi="Arial"/>
          <w:sz w:val="17"/>
          <w:szCs w:val="17"/>
          <w:color w:val="auto"/>
        </w:rPr>
        <w:t>. (a) If, due to either (i) the introduction of or any change that becomes effective following the date hereof (including, without limitation, any change by way of imposition or increase of reserve requirements) in or in the interpretation, administration or application following the date hereof of any Applicable Law (including, without limitation, any law or regulation resulting in any interest payments paid to any Lender under this Agreement being subject to any Tax, except for Taxes on the overall net income of such Lender), in each case whether foreign or domestic, including under Basel III or Dodd-Frank, or (ii) the compliance with any guideline or request following the date hereof from any central bank or other Governmental Authority (whether or not having the force of law), including under Basel III or Dodd-Frank, there shall be any increase in the cost to the Administrative Agent, any Lender, any Lender Agent, any Liquidity Bank or any Affiliate, participant, successor or assign thereof (each of which shall be an “</w:t>
      </w:r>
      <w:r>
        <w:rPr>
          <w:rFonts w:ascii="Arial" w:cs="Arial" w:eastAsia="Arial" w:hAnsi="Arial"/>
          <w:sz w:val="17"/>
          <w:szCs w:val="17"/>
          <w:u w:val="single" w:color="auto"/>
          <w:color w:val="auto"/>
        </w:rPr>
        <w:t>Affected Party</w:t>
      </w:r>
      <w:r>
        <w:rPr>
          <w:rFonts w:ascii="Arial" w:cs="Arial" w:eastAsia="Arial" w:hAnsi="Arial"/>
          <w:sz w:val="17"/>
          <w:szCs w:val="17"/>
          <w:color w:val="auto"/>
        </w:rPr>
        <w:t xml:space="preserve">”) of agreeing to make or making, funding or maintaining any Advance (or any reduction of the amount of any payment (whether of principal, interest, fee, compensation or otherwise) to any Affected Party hereunder), as the case may be, or there shall be any reduction in the amount of any sum received or receivable by an Affected Party under this Agreement, under any other Transaction Document or any Liquidity Agreement, the Borrower shall, from time to time, after written demand by the Administrative Agent (which demand shall be accompanied by a statement setting forth in reasonable detail the basis for such demand), on behalf of such Affected Party, pay to the Administrative Agent, on behalf of such Affected Party, additional amounts sufficient to compensate such Affected Party for such increased costs or reduced payments within 10 days after such demand;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amounts payable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without duplication of amounts payable under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shall not include any Excluded Taxes.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60"/>
          </w:cols>
          <w:pgMar w:left="460" w:top="273" w:right="479" w:bottom="1440" w:gutter="0" w:footer="0" w:header="0"/>
        </w:sectPr>
      </w:pPr>
    </w:p>
    <w:bookmarkStart w:id="148" w:name="page149"/>
    <w:bookmarkEnd w:id="148"/>
    <w:p>
      <w:pPr>
        <w:ind w:left="-60" w:firstLine="989"/>
        <w:spacing w:after="0" w:line="267" w:lineRule="auto"/>
        <w:tabs>
          <w:tab w:leader="none" w:pos="1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If either (i) the introduction of or any change that becomes effective following the date hereof in or in the interpretation, administration or application following the date hereof of any law, guideline, rule or regulation, directive or request or (ii) the compliance by any Affected Party with any law, guideline, rule, regulation, directive or request following the date hereof, from any central bank, any Governmental Authority or agency, including, without limitation, compliance by an Affected Party with any request or directive regarding capital adequacy or liquidity, including under Basel III or Dodd-Frank, has or would have the effect of reducing the rate of return on the capital of any Affected Party, as a consequence of its obligations hereunder or any related document or arising in connection herewith or therewith to a level below that which any such Affected Party could have achieved but for such introduction, change or compliance (taking into consideration the policies of such Affected Party with respect to capital adequacy or liquidity), by an amount deemed by such Affected Party to be material, then, from time to time, after demand by such Affected Party (which demand shall be accompanied by a statement setting forth in reasonable detail the basis for such demand), the Borrower shall pay the Administrative Agent on behalf of such Affected Party such additional amounts as will compensate such Affected Party for such reduction. For the avoidance of doubt, any increase in cost or reduction in Yield with respect to any Affected Party caused by regulatory capital allocation adjustments due to FAS 166, 167 and subsequent statements and interpretations shall constitute a circumstance on which such Affected Party may base a claim for reimbursement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ind w:left="-60" w:right="100" w:firstLine="989"/>
        <w:spacing w:after="0" w:line="287" w:lineRule="auto"/>
        <w:tabs>
          <w:tab w:leader="none" w:pos="117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If as a result of any event or circumstance similar to those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2.10</w:t>
      </w:r>
      <w:r>
        <w:rPr>
          <w:rFonts w:ascii="Arial" w:cs="Arial" w:eastAsia="Arial" w:hAnsi="Arial"/>
          <w:sz w:val="16"/>
          <w:szCs w:val="16"/>
          <w:color w:val="auto"/>
        </w:rPr>
        <w:t>, (i) any Affected Party is required to compensate a bank or other financial institution providing liquidity support, credit enhancement or other similar support to such Affected Party in connection with this Agreement or the funding or maintenance of Advances hereunder, then within ten days after demand by such Affected Party, the Borrower shall pay to such Affected Party such additional amount or amounts as may be necessary to reimburse such Affected Party for any amounts payable or paid by it, or (ii) the Administrative Agent (whether in its own judgment or at the request of the Majority Lenders) deems it necessary or appropriate to obtain a credit rating on the Revolving Notes, the Borrower shall (x) provide (as promptly as possible and in any event no later than 60 days following receipt by the Borrower of such reasonable request) at least one Rating Agency designated by the Administrative Agent with all information and documents reasonably requested by such Rating Agency (to the extent such information or documents are in the possession of or reasonably available to the Borrower) and otherwise cooperate with such Rating Agency’s review of the Transaction Documents and transactions contemplated hereby, and (y) pay the costs and expenses of such Rating Agency in respect of the rating of the Revolving Notes.</w:t>
      </w:r>
    </w:p>
    <w:p>
      <w:pPr>
        <w:spacing w:after="0" w:line="57" w:lineRule="exact"/>
        <w:rPr>
          <w:rFonts w:ascii="Arial" w:cs="Arial" w:eastAsia="Arial" w:hAnsi="Arial"/>
          <w:sz w:val="16"/>
          <w:szCs w:val="16"/>
          <w:color w:val="auto"/>
        </w:rPr>
      </w:pPr>
    </w:p>
    <w:p>
      <w:pPr>
        <w:jc w:val="both"/>
        <w:ind w:left="-60" w:right="120" w:firstLine="989"/>
        <w:spacing w:after="0" w:line="262" w:lineRule="auto"/>
        <w:tabs>
          <w:tab w:leader="none" w:pos="11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For avoidance of doubt, in connection with the interpretation of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2.10</w:t>
      </w:r>
      <w:r>
        <w:rPr>
          <w:rFonts w:ascii="Arial" w:cs="Arial" w:eastAsia="Arial" w:hAnsi="Arial"/>
          <w:sz w:val="18"/>
          <w:szCs w:val="18"/>
          <w:color w:val="auto"/>
        </w:rPr>
        <w:t>, any regulatory changes, rules, guidelines or directives under or issued in connection with Basel III or Dodd-Frank will be considered as a “change” hereunder, and will not be treated as having been adopted or having come into effect before the date hereof.</w:t>
      </w:r>
    </w:p>
    <w:p>
      <w:pPr>
        <w:spacing w:after="0" w:line="74" w:lineRule="exact"/>
        <w:rPr>
          <w:rFonts w:ascii="Arial" w:cs="Arial" w:eastAsia="Arial" w:hAnsi="Arial"/>
          <w:sz w:val="18"/>
          <w:szCs w:val="18"/>
          <w:color w:val="auto"/>
        </w:rPr>
      </w:pPr>
    </w:p>
    <w:p>
      <w:pPr>
        <w:ind w:left="-60" w:right="120" w:firstLine="989"/>
        <w:spacing w:after="0" w:line="255" w:lineRule="auto"/>
        <w:tabs>
          <w:tab w:leader="none" w:pos="11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In determining any amount provided for in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the Affected Party may use any reasonable averaging and attribution methods. The Administrative Agent, on behalf of any Affected Party making a claim under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submit to the Borrower a certificate setting forth in reasonable detail the basis for and the computations of such additional or increased costs, which certificate shall be conclusive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be requested to disclose confidential or price sensitive information or any other information, to the extent prohibited by Applicable Law.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860"/>
          </w:cols>
          <w:pgMar w:left="520" w:top="273" w:right="519" w:bottom="1440" w:gutter="0" w:footer="0" w:header="0"/>
        </w:sectPr>
      </w:pPr>
    </w:p>
    <w:bookmarkStart w:id="149" w:name="page150"/>
    <w:bookmarkEnd w:id="149"/>
    <w:p>
      <w:pPr>
        <w:ind w:right="20" w:firstLine="989"/>
        <w:spacing w:after="0" w:line="275" w:lineRule="auto"/>
        <w:tabs>
          <w:tab w:leader="none" w:pos="1210" w:val="left"/>
        </w:tabs>
        <w:numPr>
          <w:ilvl w:val="0"/>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Failure or delay on the part of any Affected Party to demand compensation pursuant to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shall not constitute a waiver of such Affected Party’s right to demand or receive such compensation.</w:t>
      </w:r>
    </w:p>
    <w:p>
      <w:pPr>
        <w:spacing w:after="0" w:line="171" w:lineRule="exact"/>
        <w:rPr>
          <w:sz w:val="20"/>
          <w:szCs w:val="20"/>
          <w:color w:val="auto"/>
        </w:rPr>
      </w:pPr>
    </w:p>
    <w:p>
      <w:pPr>
        <w:ind w:right="40" w:firstLine="987"/>
        <w:spacing w:after="0" w:line="290"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an Obligor in respect of a Loan Asset and all payments made by the Borrower or made by the Servicer on behalf of the Borrower under this Agreement will be made free and clear of and without deduction or withholding for or on account of any Taxes. If any Taxes are required to be withheld from any amounts payable to any Indemnified Party, then the amount payable to such Person will be increased (the amount of such increase, the “</w:t>
      </w:r>
      <w:r>
        <w:rPr>
          <w:rFonts w:ascii="Arial" w:cs="Arial" w:eastAsia="Arial" w:hAnsi="Arial"/>
          <w:sz w:val="16"/>
          <w:szCs w:val="16"/>
          <w:u w:val="single" w:color="auto"/>
          <w:color w:val="auto"/>
        </w:rPr>
        <w:t>Additional Amount</w:t>
      </w:r>
      <w:r>
        <w:rPr>
          <w:rFonts w:ascii="Arial" w:cs="Arial" w:eastAsia="Arial" w:hAnsi="Arial"/>
          <w:sz w:val="16"/>
          <w:szCs w:val="16"/>
          <w:color w:val="auto"/>
        </w:rPr>
        <w:t>”) such that every net payment made under this Agreement after withholding for or on account of any Taxes (including, without limitation, any Taxes on such increase) is not less than the amount that would have been paid had no such deduction or withholding been made. The foregoing obligation to pay Additional Amounts with respect to payments required to be made by the Borrower or Servicer under this Agreement will not, however, apply with respect to Excluded Taxes.</w:t>
      </w:r>
    </w:p>
    <w:p>
      <w:pPr>
        <w:spacing w:after="0" w:line="56" w:lineRule="exact"/>
        <w:rPr>
          <w:sz w:val="20"/>
          <w:szCs w:val="20"/>
          <w:color w:val="auto"/>
        </w:rPr>
      </w:pPr>
    </w:p>
    <w:p>
      <w:pPr>
        <w:ind w:right="140" w:firstLine="989"/>
        <w:spacing w:after="0" w:line="255" w:lineRule="auto"/>
        <w:tabs>
          <w:tab w:leader="none" w:pos="1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Borrower will indemnify from funds available to it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to the extent the funds available for indemnification provided by the Borrower are insufficient the Servicer, on behalf of the Borrower, will indemnify) each Indemnified Party for the full amount of Taxes payable by such Person in respect of Additional Amounts and any liability (including penalties, interest and expenses) arising therefrom or with respect thereto. All payments in respect of this indemnification shall be made within 10 days from the date a written invoice therefor is delivered to the Borrower.</w:t>
      </w:r>
    </w:p>
    <w:p>
      <w:pPr>
        <w:spacing w:after="0" w:line="82" w:lineRule="exact"/>
        <w:rPr>
          <w:rFonts w:ascii="Arial" w:cs="Arial" w:eastAsia="Arial" w:hAnsi="Arial"/>
          <w:sz w:val="18"/>
          <w:szCs w:val="18"/>
          <w:color w:val="auto"/>
        </w:rPr>
      </w:pPr>
    </w:p>
    <w:p>
      <w:pPr>
        <w:ind w:right="40" w:firstLine="989"/>
        <w:spacing w:after="0" w:line="262" w:lineRule="auto"/>
        <w:tabs>
          <w:tab w:leader="none" w:pos="12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Within 30 days after the date of any payment by the Borrower or by the Servicer on behalf of the Borrower of any Taxes, the Borrower or the Servicer, as applicable, will furnish to the Administrative Agent and the Lender Agents at the applicable address set forth on this Agreement, appropriate evidence of payment thereof.</w:t>
      </w:r>
    </w:p>
    <w:p>
      <w:pPr>
        <w:spacing w:after="0" w:line="74" w:lineRule="exact"/>
        <w:rPr>
          <w:rFonts w:ascii="Arial" w:cs="Arial" w:eastAsia="Arial" w:hAnsi="Arial"/>
          <w:sz w:val="18"/>
          <w:szCs w:val="18"/>
          <w:color w:val="auto"/>
        </w:rPr>
      </w:pPr>
    </w:p>
    <w:p>
      <w:pPr>
        <w:ind w:firstLine="989"/>
        <w:spacing w:after="0" w:line="267" w:lineRule="auto"/>
        <w:tabs>
          <w:tab w:leader="none" w:pos="12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Lender (including any assignee thereof) that is not a “United States person” within the meaning of Section 7701(a)(30) of the Code (a “</w:t>
      </w:r>
      <w:r>
        <w:rPr>
          <w:rFonts w:ascii="Arial" w:cs="Arial" w:eastAsia="Arial" w:hAnsi="Arial"/>
          <w:sz w:val="17"/>
          <w:szCs w:val="17"/>
          <w:u w:val="single" w:color="auto"/>
          <w:color w:val="auto"/>
        </w:rPr>
        <w:t>Non-U.S. Lender</w:t>
      </w:r>
      <w:r>
        <w:rPr>
          <w:rFonts w:ascii="Arial" w:cs="Arial" w:eastAsia="Arial" w:hAnsi="Arial"/>
          <w:sz w:val="17"/>
          <w:szCs w:val="17"/>
          <w:color w:val="auto"/>
        </w:rPr>
        <w:t xml:space="preserve">”) shall deliver to the Borrower and the Servicer two copies of either U.S. Internal Revenue Service Form W-8BEN (claiming the benefits of an applicable tax treaty), W-8IMY, W-8EXP or W-8ECI, or, in the case of a Non-U.S. Lender claiming exemption from U.S. federal withholding tax under Section 871(h) or 881(c) of the Code with respect to payments of “portfolio interest” a statement substantially in the form of </w:t>
      </w:r>
      <w:r>
        <w:rPr>
          <w:rFonts w:ascii="Arial" w:cs="Arial" w:eastAsia="Arial" w:hAnsi="Arial"/>
          <w:sz w:val="17"/>
          <w:szCs w:val="17"/>
          <w:u w:val="single" w:color="auto"/>
          <w:color w:val="auto"/>
        </w:rPr>
        <w:t>Exhibit R</w:t>
      </w:r>
      <w:r>
        <w:rPr>
          <w:rFonts w:ascii="Arial" w:cs="Arial" w:eastAsia="Arial" w:hAnsi="Arial"/>
          <w:sz w:val="17"/>
          <w:szCs w:val="17"/>
          <w:color w:val="auto"/>
        </w:rPr>
        <w:t xml:space="preserve"> to the effect that such Lender is eligible for a complete exemption from withholding of U.S. taxes under Section 871(h) or 881(c) of the Code and a Form W-8BEN, or any subsequent versions thereof or successors thereto, in every case with any required attachments and properly completed and duly executed and claiming complete exemption from, or a reduced rate of, U.S. federal withholding tax on all payments by the Borrower under this Agreement. In addition, each Lender (including any assignee thereof) that is not a Non-U.S. Lender shall deliver to the Borrower and the Servicer two copies of U.S. Internal Revenue Service Form W-9, properly completed and duly executed and claiming complete exemption, or shall otherwise establish an exemption, from U.S. backup withholding. Such forms shall be delivered by each Lender on or before the date it becomes a party to this Agreement. In addition, each Lender shall deliver such forms promptly upon receiving notice of the obsolescence, expiration or invalidity of any form previously delivered by such Lender. Each Lender shall promptly notify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40"/>
          </w:cols>
          <w:pgMar w:left="460" w:top="273" w:right="499" w:bottom="1440" w:gutter="0" w:footer="0" w:header="0"/>
        </w:sectPr>
      </w:pPr>
    </w:p>
    <w:bookmarkStart w:id="150" w:name="page151"/>
    <w:bookmarkEnd w:id="150"/>
    <w:p>
      <w:pPr>
        <w:jc w:val="both"/>
        <w:ind w:right="16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Borrower and the Servicer at any time it determines that it is no longer in a position to provide any previously delivered certificate to the Borrower or the Servicer (or any other form of certification adopted by the U.S. taxing authorities for such purpose). Notwithstanding any other provision of this paragraph, a Lender shall not be required to deliver any form pursuant to this paragraph that such Lender is not legally able to deliver.</w:t>
      </w:r>
    </w:p>
    <w:p>
      <w:pPr>
        <w:spacing w:after="0" w:line="40" w:lineRule="exact"/>
        <w:rPr>
          <w:sz w:val="20"/>
          <w:szCs w:val="20"/>
          <w:color w:val="auto"/>
        </w:rPr>
      </w:pPr>
    </w:p>
    <w:p>
      <w:pPr>
        <w:ind w:right="120" w:firstLine="989"/>
        <w:spacing w:after="0" w:line="253" w:lineRule="auto"/>
        <w:tabs>
          <w:tab w:leader="none" w:pos="12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A Lender that is entitled to an exemption from or reduction of withholding tax under the law of the jurisdiction in which the Borrower is located, or any treaty to which such jurisdiction is a party, with respect to payments under this Agreement shall deliver to the Borrower and the Servicer, at the time or times prescribed by applicable law and reasonably requested by the Borrower or the Servicer, such properly completed and executed documentation or information prescribed by applicable law as will permit such payments to be made without withholding or at a reduced rate (or otherwise permit the Borrower and the Servicer to determine the applicable rate of withholding),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is legally entitled to complete, execute and deliver such documentation and in such Lender’s reasonable judgment such completion, execution or submission would not materially prejudice the legal position of such Lender.</w:t>
      </w:r>
    </w:p>
    <w:p>
      <w:pPr>
        <w:spacing w:after="0" w:line="85" w:lineRule="exact"/>
        <w:rPr>
          <w:rFonts w:ascii="Arial" w:cs="Arial" w:eastAsia="Arial" w:hAnsi="Arial"/>
          <w:sz w:val="18"/>
          <w:szCs w:val="18"/>
          <w:color w:val="auto"/>
        </w:rPr>
      </w:pPr>
    </w:p>
    <w:p>
      <w:pPr>
        <w:ind w:right="40" w:firstLine="989"/>
        <w:spacing w:after="0" w:line="253" w:lineRule="auto"/>
        <w:tabs>
          <w:tab w:leader="none" w:pos="121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If any Lender determines, in its reasonable discretion, that it has received a refund of any Taxes for which it was indemnified by the Borrower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with respect to which the Borrower or the Servicer has paid Additional Amounts pursuant to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it shall pay to the Borrower or the Servicer, as applicable, an amount equal to such refund (but only to the extent of indemnity payments made, or additional amounts paid, by the Borrower or the Servicer under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with respect to the Taxes or Additional Amounts giving rise to such refund), net of all reasonable out-of-pocket expenses (including additional Taxes, if any) of such Lender, as the case may be, incurred in obtaining such refund, and without interest (other than any interest paid by the relevant Governmental Authority with respect to such refund)</w:t>
      </w:r>
    </w:p>
    <w:p>
      <w:pPr>
        <w:spacing w:after="0" w:line="85" w:lineRule="exact"/>
        <w:rPr>
          <w:rFonts w:ascii="Arial" w:cs="Arial" w:eastAsia="Arial" w:hAnsi="Arial"/>
          <w:sz w:val="18"/>
          <w:szCs w:val="18"/>
          <w:color w:val="auto"/>
        </w:rPr>
      </w:pPr>
    </w:p>
    <w:p>
      <w:pPr>
        <w:ind w:firstLine="989"/>
        <w:spacing w:after="0" w:line="275" w:lineRule="auto"/>
        <w:tabs>
          <w:tab w:leader="none" w:pos="1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Without prejudice to the survival of any other agreement of the Borrower and the Servicer hereunder, the agreements and obligations of the Borrower and the Servicer contained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shall survive the termination of this Agreement.</w:t>
      </w:r>
    </w:p>
    <w:p>
      <w:pPr>
        <w:spacing w:after="0" w:line="171" w:lineRule="exact"/>
        <w:rPr>
          <w:sz w:val="20"/>
          <w:szCs w:val="20"/>
          <w:color w:val="auto"/>
        </w:rPr>
      </w:pPr>
    </w:p>
    <w:p>
      <w:pPr>
        <w:ind w:right="20" w:firstLine="987"/>
        <w:spacing w:after="0" w:line="287"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Collateral Assignment of Agreements</w:t>
      </w:r>
      <w:r>
        <w:rPr>
          <w:rFonts w:ascii="Arial" w:cs="Arial" w:eastAsia="Arial" w:hAnsi="Arial"/>
          <w:sz w:val="16"/>
          <w:szCs w:val="16"/>
          <w:color w:val="auto"/>
        </w:rPr>
        <w:t>. The Borrower hereby collaterally assigns to the Collateral Agent, for the benefit of the Secured Parties, all of the Borrower’s right and title to and interest in, to and under (but not any obligations under) the Contribution Agreement (and any UCC financing statements filed under or in connection therewith), the Loan Agreements related to each Loan Asset, all other agreements, documents and instruments evidencing, securing or guarantying any Loan Asset and all other agreements, documents and instruments related to any of the foregoing but excluding any Excluded Amounts or Retained Interest (the “</w:t>
      </w:r>
      <w:r>
        <w:rPr>
          <w:rFonts w:ascii="Arial" w:cs="Arial" w:eastAsia="Arial" w:hAnsi="Arial"/>
          <w:sz w:val="16"/>
          <w:szCs w:val="16"/>
          <w:u w:val="single" w:color="auto"/>
          <w:color w:val="auto"/>
        </w:rPr>
        <w:t>Assigned Documents</w:t>
      </w:r>
      <w:r>
        <w:rPr>
          <w:rFonts w:ascii="Arial" w:cs="Arial" w:eastAsia="Arial" w:hAnsi="Arial"/>
          <w:sz w:val="16"/>
          <w:szCs w:val="16"/>
          <w:color w:val="auto"/>
        </w:rPr>
        <w:t xml:space="preserve">”). In furtherance and not in limitation of the foregoing, the Borrower hereby collaterally assigns to the Collateral Agent, for the benefit of the Secured Parties, its right to indemnification under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of the Contribution Agreement. The Borrower confirms that until the Collection Date the Collateral Agent (at the direction of the Administrative Agent) on behalf of the Secured Parties shall have the sole right to enforce the Borrower’s rights and remedies under the Contribution Agreement and any UCC financing statements filed under or in connection therewith for the benefit of the Secured Parties. The parties hereto agree that such collateral assignment to the Collateral Agent, for the benefit of the Secured Parties, shall terminate upon the Collection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60"/>
          </w:cols>
          <w:pgMar w:left="460" w:top="273" w:right="479" w:bottom="1440" w:gutter="0" w:footer="0" w:header="0"/>
        </w:sectPr>
      </w:pPr>
    </w:p>
    <w:bookmarkStart w:id="151" w:name="page152"/>
    <w:bookmarkEnd w:id="151"/>
    <w:p>
      <w:pPr>
        <w:ind w:right="60" w:firstLine="987"/>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2.13 </w:t>
      </w:r>
      <w:r>
        <w:rPr>
          <w:rFonts w:ascii="Arial" w:cs="Arial" w:eastAsia="Arial" w:hAnsi="Arial"/>
          <w:sz w:val="16"/>
          <w:szCs w:val="16"/>
          <w:u w:val="single" w:color="auto"/>
          <w:color w:val="auto"/>
        </w:rPr>
        <w:t>Grant of a Security Interest</w:t>
      </w:r>
      <w:r>
        <w:rPr>
          <w:rFonts w:ascii="Arial" w:cs="Arial" w:eastAsia="Arial" w:hAnsi="Arial"/>
          <w:sz w:val="16"/>
          <w:szCs w:val="16"/>
          <w:color w:val="auto"/>
        </w:rPr>
        <w:t>. To secure the prompt, complete and indefeasible payment in full when due, whether by lapse of time, acceleration or otherwise, of the Obligations and the performance by the Borrower of all of the covenants and obligations to be performed by it pursuant to this Agreement and each other Transaction Document, whether now or hereafter existing, due or to become due, direct or indirect, or absolute or contingent, the Borrower hereby (a) collaterally assigns and pledges to the Collateral Agent, on behalf of the Secured Parties, and (b) grants a security interest to the Collateral Agent, on behalf of the Secured Parties, in all of the Borrower’s right, title and interest in, to and under (but none of the obligations under) all of the Collateral Portfolio, whether now existing or hereafter arising or acquired by the Borrower, and wherever the same may be located. For the avoidance of doubt, the Collateral Portfolio shall not include any Excluded Amounts, and the Borrower does not hereby assign, pledge or grant a security interest in any such amounts. Anything herein to the contrary notwithstanding, (a) the Borrower shall remain liable under the Collateral Portfolio to the extent set forth therein to perform all of its duties and obligations thereunder to the same extent as if this Agreement had not been executed, (b) the exercise by the Collateral Agent, for the benefit of the Secured Parties, of any of its rights in the Collateral Portfolio shall not release the Borrower from any of its duties or obligations under the Collateral Portfolio, and (c) none of the Administrative Agent, the Collateral Agent, any Lender (nor its successors and assigns), any Lender Agent, any Liquidity Bank nor any Secured Party shall have any obligations or liability under the Collateral Portfolio by reason of this Agreement, nor shall the Administrative Agent, the Collateral Agent, any Lender (nor its successors and assigns), any Lender Agent, any Liquidity Bank nor any Secured Party be obligated to perform any of the obligations or duties of the Borrower thereunder or to take any action to collect or enforce any claim for payment assigned hereunder.</w:t>
      </w:r>
    </w:p>
    <w:p>
      <w:pPr>
        <w:spacing w:after="0" w:line="174" w:lineRule="exact"/>
        <w:rPr>
          <w:sz w:val="20"/>
          <w:szCs w:val="20"/>
          <w:color w:val="auto"/>
        </w:rPr>
      </w:pPr>
    </w:p>
    <w:p>
      <w:pPr>
        <w:ind w:firstLine="987"/>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Evidence of Debt</w:t>
      </w:r>
      <w:r>
        <w:rPr>
          <w:rFonts w:ascii="Arial" w:cs="Arial" w:eastAsia="Arial" w:hAnsi="Arial"/>
          <w:sz w:val="16"/>
          <w:szCs w:val="16"/>
          <w:color w:val="auto"/>
        </w:rPr>
        <w:t xml:space="preserve">. The Administrative Agent shall maintain, solely for this purpose as the agent of the Borrower, at its address referred to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a copy of each assignment and acceptance agreement and participation agreement delivered to and accepted by it and a register for the recordation of the names and addresses and interests of the Lenders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binding for all purposes, absent manifest error, and the Borrower, the Administrative Agent, each Lender and each Lender Agent shall treat each person whose name is recorded in the Register as a Lender under this Agreement for all purposes of this Agreement. The Register shall be available for inspection by the Borrower or any Lender Agent at any reasonable time and from time to time upon reasonable prior notice. If a Lender sells a participation, the Administrative Agent shall, acting solely for this purpose as an agent of the Borrower, maintain a register on which it enters the name and address of each participant and the principal amounts (and stated interest) of each participant’s interest in the Loan or other obligations under the Transaction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have no obligation to disclose all or any portion of the Participant Register (including the identity of any participant or any information relating to a participant’s interest in any commitments, loans or its other obligations under any Transaction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and binding for all purposes, absent manifest error, and the Administrative Agent shall treat each Person whose name is recorded in the Participant Register as the owner of such participation for all purposes of this Agreement notwithstanding any notice to the contrary.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40"/>
          </w:cols>
          <w:pgMar w:left="460" w:top="273" w:right="499" w:bottom="1440" w:gutter="0" w:footer="0" w:header="0"/>
        </w:sectPr>
      </w:pPr>
    </w:p>
    <w:bookmarkStart w:id="152" w:name="page153"/>
    <w:bookmarkEnd w:id="152"/>
    <w:p>
      <w:pPr>
        <w:ind w:right="120" w:firstLine="987"/>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2.15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xml:space="preserve">. It is understood and agreed that the representations and warranties set forth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4.03</w:t>
      </w:r>
      <w:r>
        <w:rPr>
          <w:rFonts w:ascii="Arial" w:cs="Arial" w:eastAsia="Arial" w:hAnsi="Arial"/>
          <w:sz w:val="18"/>
          <w:szCs w:val="18"/>
          <w:color w:val="auto"/>
        </w:rPr>
        <w:t xml:space="preserve"> are made and are true and correct on the date of this Agreement and on each Cut-Off Date unless such representations and warranties are made as of a specific date.</w:t>
      </w:r>
    </w:p>
    <w:p>
      <w:pPr>
        <w:spacing w:after="0" w:line="182" w:lineRule="exact"/>
        <w:rPr>
          <w:sz w:val="20"/>
          <w:szCs w:val="20"/>
          <w:color w:val="auto"/>
        </w:rPr>
      </w:pPr>
    </w:p>
    <w:p>
      <w:pPr>
        <w:ind w:firstLine="987"/>
        <w:spacing w:after="0" w:line="287"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Release of Loan Assets</w:t>
      </w:r>
      <w:r>
        <w:rPr>
          <w:rFonts w:ascii="Arial" w:cs="Arial" w:eastAsia="Arial" w:hAnsi="Arial"/>
          <w:sz w:val="16"/>
          <w:szCs w:val="16"/>
          <w:color w:val="auto"/>
        </w:rPr>
        <w:t xml:space="preserve">. (a) The Borrower may obtain the release of (i) any Loan Asset (and the related Portfolio Assets pertaining thereto) removed from the Collateral Portfolio pursuant to a Loan Asset Dividend or sold or substituted in accordance with the applicable provisions of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any Portfolio Assets pertaining to such Loan Asset and (ii) any Collateral Portfolio that expires by its terms and all amounts in respect thereof have been paid in full by the related Obligor and deposited in the Collection Account. The Collateral Agent, for the benefit of the Secured Parties, shall at the sole expense of the Borrower and at the direction of the Administrative Agent, execute such documents and instruments of release as may be prepared by the Servicer on behalf of the Borrower, give notice of such release to the Collateral Custodian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(unless the Collateral Custodian and Collateral Agent are the same Person) and take other such actions as shall reasonably be requested by the Borrower to effect such release of the Lien created pursuant to this Agreement. Upon receiving such notification by the Collateral Agent as described in the immediately preceding sentence, if applicable, the Collateral Custodian shall deliver the Required Loan Documents to the Borrower.</w:t>
      </w:r>
    </w:p>
    <w:p>
      <w:pPr>
        <w:spacing w:after="0" w:line="62" w:lineRule="exact"/>
        <w:rPr>
          <w:sz w:val="20"/>
          <w:szCs w:val="20"/>
          <w:color w:val="auto"/>
        </w:rPr>
      </w:pPr>
    </w:p>
    <w:p>
      <w:pPr>
        <w:ind w:right="20" w:firstLine="989"/>
        <w:spacing w:after="0" w:line="254" w:lineRule="auto"/>
        <w:tabs>
          <w:tab w:leader="none" w:pos="1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Promptly after the Collection Date has occurred, the Collateral Agent (and to the extent that the Borrower identifies Liens held by such Persons, any Lender, Lender Agent or the Administrative Agent), at the direction of the Administrative Agent shall release to the Borrower, for no consideration but at the sole expense of the Borrower, its remaining interests in the Portfolio Assets, free and clear of any Lien resulting solely from an act by the Collateral Agent (and to the extent that the Borrower identifies Liens held by such Persons, any Lender, Lender Agent or the Administrative Agent), but without any other representation or warranty, express or implied, by or recourse against the Collateral Agent, any Lender, any Lender Agent or the Administrative Agent.</w:t>
      </w:r>
    </w:p>
    <w:p>
      <w:pPr>
        <w:spacing w:after="0" w:line="191" w:lineRule="exact"/>
        <w:rPr>
          <w:sz w:val="20"/>
          <w:szCs w:val="20"/>
          <w:color w:val="auto"/>
        </w:rPr>
      </w:pPr>
    </w:p>
    <w:p>
      <w:pPr>
        <w:ind w:right="140" w:firstLine="987"/>
        <w:spacing w:after="0" w:line="262"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Treatment of Amounts Deposited by the Borrower</w:t>
      </w:r>
      <w:r>
        <w:rPr>
          <w:rFonts w:ascii="Arial" w:cs="Arial" w:eastAsia="Arial" w:hAnsi="Arial"/>
          <w:sz w:val="18"/>
          <w:szCs w:val="18"/>
          <w:color w:val="auto"/>
        </w:rPr>
        <w:t xml:space="preserve">. Amounts deposited by the Borrower in the Collection Account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on account of Loan Assets shall be treated as payments of Principal Collections or Interest Collections, as applicable, on Loan Assets hereunder.</w:t>
      </w:r>
    </w:p>
    <w:p>
      <w:pPr>
        <w:spacing w:after="0" w:line="182" w:lineRule="exact"/>
        <w:rPr>
          <w:sz w:val="20"/>
          <w:szCs w:val="20"/>
          <w:color w:val="auto"/>
        </w:rPr>
      </w:pPr>
    </w:p>
    <w:p>
      <w:pPr>
        <w:ind w:right="180" w:firstLine="987"/>
        <w:spacing w:after="0" w:line="284"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Mandatory and Voluntary Prepayments; Termination</w:t>
      </w:r>
      <w:r>
        <w:rPr>
          <w:rFonts w:ascii="Arial" w:cs="Arial" w:eastAsia="Arial" w:hAnsi="Arial"/>
          <w:sz w:val="17"/>
          <w:szCs w:val="17"/>
          <w:color w:val="auto"/>
        </w:rPr>
        <w:t>. (a) On each of the 12th and 24th Payment Dates following the Scheduled Commitment Termination Date and on the Scheduled Maturity Date, the Borrower shall reduce the Advances Outstanding by depositing in the Collection Account an amount equal to the Amortization Principal Reduction Amount applicable to each such Payment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40"/>
          </w:cols>
          <w:pgMar w:left="460" w:top="273" w:right="499" w:bottom="1440" w:gutter="0" w:footer="0" w:header="0"/>
        </w:sectPr>
      </w:pPr>
    </w:p>
    <w:bookmarkStart w:id="153" w:name="page154"/>
    <w:bookmarkEnd w:id="153"/>
    <w:p>
      <w:pPr>
        <w:ind w:right="100" w:firstLine="989"/>
        <w:spacing w:after="0" w:line="286" w:lineRule="auto"/>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Except as expressly permitted or required herein, including, without limitation, any repayment necessary to cure a Borrowing Base Deficiency or Foreign Currency Excess Exposure, Advances may only be prepaid in whole or in part at the option of the Borrower at any time by delivering a Notice of Reduction to the Administrative Agent, the Collateral Agent and the Lender Agents at least one Business Day prior to such reduction;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prepayment of a Foreign Currency Loan Asset not subject to a Hedging Agreement shall be made in the related Foreign Currency. Upon any prepayment, the Borrower shall also pay in full any Breakage Fees (solely to the extent such prepayment occurs on any day other than a Payment Date) and other accrued and unpaid costs and expenses of Administrative Agent, the Lender Agents and Lenders related to such prepayment;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reduction in Advances Outstanding shall be given effect unless (i) sufficient funds have been remitted to pay all such amounts in full, as determined by the Administrative Agent, in its sole discretion and (ii) no event has occurred or would result from such prepayment which would constitute an Event of Default or an Unmatured Event of Default. The Administrative Agent shall apply amounts received from the Borrower pursuant to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to the payment of any Breakage Fees and to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of the Advances Outstanding. Any notice relating to any repayment pursuant to this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shall be irrevocable.</w:t>
      </w:r>
    </w:p>
    <w:p>
      <w:pPr>
        <w:spacing w:after="0" w:line="60" w:lineRule="exact"/>
        <w:rPr>
          <w:rFonts w:ascii="Arial" w:cs="Arial" w:eastAsia="Arial" w:hAnsi="Arial"/>
          <w:sz w:val="16"/>
          <w:szCs w:val="16"/>
          <w:color w:val="auto"/>
        </w:rPr>
      </w:pPr>
    </w:p>
    <w:p>
      <w:pPr>
        <w:ind w:firstLine="989"/>
        <w:spacing w:after="0" w:line="252" w:lineRule="auto"/>
        <w:tabs>
          <w:tab w:leader="none" w:pos="12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Borrower may, at its option, permanently reduce the Aggregate Commitments hereunder upon not less than 15 Business Days’ prior written notice to the Administrative Agent and the Lender Agents, subject to the payment of any Borrowing Base Deficiency or Foreign Currency Excess Exposure resulting from such permanent reduction, together with accrued and unpaid Yield and Breakage Fees (if any) relating thereto, all accrued and unpaid costs and expenses of the Administrative Agent, the Lender Agents and Lenders, to the Administrative Agent for distribution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to each Lender Agent for the account of the applicable Lender;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in no event shall the Borrower have the right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2.18(c)</w:t>
      </w:r>
      <w:r>
        <w:rPr>
          <w:rFonts w:ascii="Arial" w:cs="Arial" w:eastAsia="Arial" w:hAnsi="Arial"/>
          <w:sz w:val="18"/>
          <w:szCs w:val="18"/>
          <w:i w:val="1"/>
          <w:iCs w:val="1"/>
          <w:color w:val="auto"/>
        </w:rPr>
        <w:t xml:space="preserve"> </w:t>
      </w:r>
      <w:r>
        <w:rPr>
          <w:rFonts w:ascii="Arial" w:cs="Arial" w:eastAsia="Arial" w:hAnsi="Arial"/>
          <w:sz w:val="18"/>
          <w:szCs w:val="18"/>
          <w:color w:val="auto"/>
        </w:rPr>
        <w:t>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permanently reduce Aggregate Commitments below 50% of the Maximum Facility Amount as in effect on the Closing Date without the prior written consent of the Majority Lenders. Upon the effectuation of any reduction in Aggregate Commitments, the Administrative Agent shall distribute to each Lender Agent a revised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indicating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reduction of each Liquidity Bank’s and Institutional Lender’s Commitment effectuated under this </w:t>
      </w:r>
      <w:r>
        <w:rPr>
          <w:rFonts w:ascii="Arial" w:cs="Arial" w:eastAsia="Arial" w:hAnsi="Arial"/>
          <w:sz w:val="18"/>
          <w:szCs w:val="18"/>
          <w:u w:val="single" w:color="auto"/>
          <w:color w:val="auto"/>
        </w:rPr>
        <w:t>Section 2.18(c)</w:t>
      </w:r>
      <w:r>
        <w:rPr>
          <w:rFonts w:ascii="Arial" w:cs="Arial" w:eastAsia="Arial" w:hAnsi="Arial"/>
          <w:sz w:val="18"/>
          <w:szCs w:val="18"/>
          <w:color w:val="auto"/>
        </w:rPr>
        <w:t xml:space="preserve"> (unless a non-</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is otherwise agreed to in writing by any Liquidity Bank or Institutional Lender in its sole discretion).</w:t>
      </w:r>
    </w:p>
    <w:p>
      <w:pPr>
        <w:spacing w:after="0" w:line="84" w:lineRule="exact"/>
        <w:rPr>
          <w:rFonts w:ascii="Arial" w:cs="Arial" w:eastAsia="Arial" w:hAnsi="Arial"/>
          <w:sz w:val="18"/>
          <w:szCs w:val="18"/>
          <w:color w:val="auto"/>
        </w:rPr>
      </w:pPr>
    </w:p>
    <w:p>
      <w:pPr>
        <w:ind w:right="100" w:firstLine="989"/>
        <w:spacing w:after="0" w:line="300" w:lineRule="auto"/>
        <w:tabs>
          <w:tab w:leader="none" w:pos="1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Borrower may, at its option, terminate this Agreement and the other Transaction Documents upon three Business Days’ prior written notice to the Administrative Agent and the Lender Agents and upon payment in full of all outstanding Advances; all accrued and unpaid Yield; any Breakage Fees; all accrued and unpaid costs and expenses of the Administrative Agent, the Lender Agents and Lenders; and payment of all other Obligations (other than unmatured contingent indemnification obligations). Any termination of this Agreement shall be subject to </w:t>
      </w:r>
      <w:r>
        <w:rPr>
          <w:rFonts w:ascii="Arial" w:cs="Arial" w:eastAsia="Arial" w:hAnsi="Arial"/>
          <w:sz w:val="16"/>
          <w:szCs w:val="16"/>
          <w:u w:val="single" w:color="auto"/>
          <w:color w:val="auto"/>
        </w:rPr>
        <w:t>Section 12.05</w:t>
      </w:r>
      <w:r>
        <w:rPr>
          <w:rFonts w:ascii="Arial" w:cs="Arial" w:eastAsia="Arial" w:hAnsi="Arial"/>
          <w:sz w:val="16"/>
          <w:szCs w:val="16"/>
          <w:color w:val="auto"/>
        </w:rPr>
        <w:t>.</w:t>
      </w:r>
    </w:p>
    <w:p>
      <w:pPr>
        <w:spacing w:after="0" w:line="155" w:lineRule="exact"/>
        <w:rPr>
          <w:sz w:val="20"/>
          <w:szCs w:val="20"/>
          <w:color w:val="auto"/>
        </w:rPr>
      </w:pPr>
    </w:p>
    <w:p>
      <w:pPr>
        <w:ind w:right="20" w:firstLine="987"/>
        <w:spacing w:after="0" w:line="270" w:lineRule="auto"/>
        <w:rPr>
          <w:sz w:val="20"/>
          <w:szCs w:val="20"/>
          <w:color w:val="auto"/>
        </w:rPr>
      </w:pPr>
      <w:r>
        <w:rPr>
          <w:rFonts w:ascii="Arial" w:cs="Arial" w:eastAsia="Arial" w:hAnsi="Arial"/>
          <w:sz w:val="17"/>
          <w:szCs w:val="17"/>
          <w:color w:val="auto"/>
        </w:rPr>
        <w:t xml:space="preserve">Section 2.19 </w:t>
      </w:r>
      <w:r>
        <w:rPr>
          <w:rFonts w:ascii="Arial" w:cs="Arial" w:eastAsia="Arial" w:hAnsi="Arial"/>
          <w:sz w:val="17"/>
          <w:szCs w:val="17"/>
          <w:u w:val="single" w:color="auto"/>
          <w:color w:val="auto"/>
        </w:rPr>
        <w:t>Collections and Allocations</w:t>
      </w:r>
      <w:r>
        <w:rPr>
          <w:rFonts w:ascii="Arial" w:cs="Arial" w:eastAsia="Arial" w:hAnsi="Arial"/>
          <w:sz w:val="17"/>
          <w:szCs w:val="17"/>
          <w:color w:val="auto"/>
        </w:rPr>
        <w:t xml:space="preserve">. (a) The Servicer shall promptly identify any collections received as being on account of Interest Collections, Principal Collections or other Available Collections and shall transfer, or cause to be transferred, all Available Collections received directly by it to the Collection Account by the close of business two Business Days after such Collections are received. Upon the transfer of Available Collections to the Collection Account, the Servicer shall segregate Principal Collections and Interest Collections and transfer the same to the Principal Collection Account and the Interest Collection Account, respectively. The Servicer shall further include a statement as to the amount of Principal Collections and Interest Collections on deposit in the Principal Collection Account and the Interest Collection Account on each Reporting Date in the Servicing Report delivered pursuant to </w:t>
      </w:r>
      <w:r>
        <w:rPr>
          <w:rFonts w:ascii="Arial" w:cs="Arial" w:eastAsia="Arial" w:hAnsi="Arial"/>
          <w:sz w:val="17"/>
          <w:szCs w:val="17"/>
          <w:u w:val="single" w:color="auto"/>
          <w:color w:val="auto"/>
        </w:rPr>
        <w:t>Section 6.08(b)</w:t>
      </w:r>
      <w:r>
        <w:rPr>
          <w:rFonts w:ascii="Arial" w:cs="Arial" w:eastAsia="Arial" w:hAnsi="Arial"/>
          <w:sz w:val="17"/>
          <w:szCs w:val="17"/>
          <w:color w:val="auto"/>
        </w:rPr>
        <w: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00"/>
          </w:cols>
          <w:pgMar w:left="460" w:top="273" w:right="539" w:bottom="1440" w:gutter="0" w:footer="0" w:header="0"/>
        </w:sectPr>
      </w:pPr>
    </w:p>
    <w:bookmarkStart w:id="154" w:name="page155"/>
    <w:bookmarkEnd w:id="154"/>
    <w:p>
      <w:pPr>
        <w:ind w:left="-100" w:right="220" w:firstLine="989"/>
        <w:spacing w:after="0" w:line="305" w:lineRule="auto"/>
        <w:tabs>
          <w:tab w:leader="none" w:pos="11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On the Cut-Off Date with respect to any Loan Asset, the Servicer will deposit into the Collection Account all Available Collections received in respect of Eligible Loan Assets being transferred to and included as part of the Collateral Portfolio on such date.</w:t>
      </w:r>
    </w:p>
    <w:p>
      <w:pPr>
        <w:spacing w:after="0" w:line="40" w:lineRule="exact"/>
        <w:rPr>
          <w:rFonts w:ascii="Arial" w:cs="Arial" w:eastAsia="Arial" w:hAnsi="Arial"/>
          <w:sz w:val="17"/>
          <w:szCs w:val="17"/>
          <w:color w:val="auto"/>
        </w:rPr>
      </w:pPr>
    </w:p>
    <w:p>
      <w:pPr>
        <w:ind w:left="-100" w:right="40" w:firstLine="989"/>
        <w:spacing w:after="0" w:line="277" w:lineRule="auto"/>
        <w:tabs>
          <w:tab w:leader="none" w:pos="113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 the prior written consent of the Administrative Agent (a copy of which will be provided by the Servicer to the Collateral Agent), the Servicer may withdraw from the Collection Account any deposits thereto constituting Excluded Amounts if the Servicer has, prior to such withdrawal and consent, delivered to the Administrative Agent and each Lender Agent a report setting forth the calculation of such Excluded Amounts in form and substance reasonably satisfactory to the Administrative Agent and each Lender Agent.</w:t>
      </w:r>
    </w:p>
    <w:p>
      <w:pPr>
        <w:spacing w:after="0" w:line="65" w:lineRule="exact"/>
        <w:rPr>
          <w:rFonts w:ascii="Arial" w:cs="Arial" w:eastAsia="Arial" w:hAnsi="Arial"/>
          <w:sz w:val="17"/>
          <w:szCs w:val="17"/>
          <w:color w:val="auto"/>
        </w:rPr>
      </w:pPr>
    </w:p>
    <w:p>
      <w:pPr>
        <w:ind w:left="-100" w:firstLine="989"/>
        <w:spacing w:after="0" w:line="283" w:lineRule="auto"/>
        <w:tabs>
          <w:tab w:leader="none" w:pos="11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Prior to Notice of Exclusive Control, the Servicer shall, pursuant to written instruction (which may be in the form of standing instructions), direct the Collateral Agent to invest, or cause the investment of, funds on deposit in the Collection Account and the URCA Account in Permitted Investments, from the date of this Agreement until the Collection Date. Absent any such written instruction, such funds shall not be invested. A Permitted Investment acquired with funds deposited in the Collection Account or the URCA Account shall mature not later than the Business Day immediately preceding any Payment Date, and shall not be sold or disposed of prior to its maturity, unless the Servicer determines in its good faith commercial judgment that there is substantial risk of material deterioration of such Permitted Investment. All such Permitted Investments shall be registered in the name of the Account Bank or its nominee for the benefit of the Administrative Agent or Collateral Agent, and otherwise comply with assumptions of the legal opinions of Latham &amp; Watkins LLP and Richards, Layton &amp; Finger, P.A., each dated the Closing Date and delivered in connection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compliance shall be the responsibility of the Borrower and the Servicer and not the Collateral Agent and Account Bank. All income and gain realized from any such investment, as well as any interest earned on deposits in the Collection Account or the URCA Account shall be distributed in accordance with the provisions of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hereof. In the event the Borrower or Servicer direct the funds to be invested in investments which are not Permitted Investments, the Borrower shall deposit in the Collection Account or the URCA Account (with respect to investments made hereunder of funds held therein), as the case may be, an amount equal to the amount of any actual loss incurred, in respect of any such investment, immediately upon realization of such loss. None of the Account Bank, the Collateral Agent, the Administrative Agent, any Lender Agent or any Lender shall be liable for the amount of any loss incurred, in respect of any investment, or lack of investment, of funds held in the Collection Account or the URCA Account, other than with respect to fraud or their own gross negligence or willful misconduct as determined in a final decision by a court of competent jurisdiction. The parties hereto acknowledge that the Collateral Agent or the Account Bank or any of their respective Affiliates may receive compensation with respect to the Permitted Investments.</w:t>
      </w:r>
    </w:p>
    <w:p>
      <w:pPr>
        <w:spacing w:after="0" w:line="72" w:lineRule="exact"/>
        <w:rPr>
          <w:rFonts w:ascii="Arial" w:cs="Arial" w:eastAsia="Arial" w:hAnsi="Arial"/>
          <w:sz w:val="16"/>
          <w:szCs w:val="16"/>
          <w:color w:val="auto"/>
        </w:rPr>
      </w:pPr>
    </w:p>
    <w:p>
      <w:pPr>
        <w:ind w:left="-100" w:right="460" w:firstLine="989"/>
        <w:spacing w:after="0" w:line="339" w:lineRule="auto"/>
        <w:tabs>
          <w:tab w:leader="none" w:pos="113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Until the Collection Date, neither the Borrower nor the Servicer shall have any rights of direction or withdrawal, with respect to amounts held in the Collection Account or the URCA Account, except to the extent explicitly set forth in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760"/>
          </w:cols>
          <w:pgMar w:left="560" w:top="273" w:right="579" w:bottom="1440" w:gutter="0" w:footer="0" w:header="0"/>
        </w:sectPr>
      </w:pPr>
    </w:p>
    <w:bookmarkStart w:id="155" w:name="page156"/>
    <w:bookmarkEnd w:id="155"/>
    <w:p>
      <w:pPr>
        <w:ind w:right="100" w:firstLine="987"/>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2.20 </w:t>
      </w:r>
      <w:r>
        <w:rPr>
          <w:rFonts w:ascii="Arial" w:cs="Arial" w:eastAsia="Arial" w:hAnsi="Arial"/>
          <w:sz w:val="17"/>
          <w:szCs w:val="17"/>
          <w:u w:val="single" w:color="auto"/>
          <w:color w:val="auto"/>
        </w:rPr>
        <w:t>Distributions From the URCA Account</w:t>
      </w:r>
      <w:r>
        <w:rPr>
          <w:rFonts w:ascii="Arial" w:cs="Arial" w:eastAsia="Arial" w:hAnsi="Arial"/>
          <w:sz w:val="17"/>
          <w:szCs w:val="17"/>
          <w:color w:val="auto"/>
        </w:rPr>
        <w:t xml:space="preserve">. (a) On any Business Day prior to the Final Maturity Date, the Servicer may request, and the Collateral Agent hereby directs, the Account Bank to withdraw funds on deposit in the URCA Account and distribute such amount as directed by the Servicer (including for distribution to Solar Capital) for the purpose of the simultaneous (or substantially simultaneous and in any event within one Business Day) funding of loans to Obligors under Revolving Loan Assets that are Eligible Loan Assets in fulfillment of the Unfunded Revolving Commitment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following conditions are satisfied:</w:t>
      </w:r>
    </w:p>
    <w:p>
      <w:pPr>
        <w:spacing w:after="0" w:line="67" w:lineRule="exact"/>
        <w:rPr>
          <w:sz w:val="20"/>
          <w:szCs w:val="20"/>
          <w:color w:val="auto"/>
        </w:rPr>
      </w:pPr>
    </w:p>
    <w:p>
      <w:pPr>
        <w:ind w:left="1080" w:hanging="219"/>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 respect to each Eligible Loan Asset that is a Revolving Loan Asset being funded, the Availability Period is in effect;</w:t>
      </w:r>
    </w:p>
    <w:p>
      <w:pPr>
        <w:spacing w:after="0" w:line="115" w:lineRule="exact"/>
        <w:rPr>
          <w:rFonts w:ascii="Arial" w:cs="Arial" w:eastAsia="Arial" w:hAnsi="Arial"/>
          <w:sz w:val="18"/>
          <w:szCs w:val="18"/>
          <w:color w:val="auto"/>
        </w:rPr>
      </w:pPr>
    </w:p>
    <w:p>
      <w:pPr>
        <w:ind w:left="1120" w:hanging="259"/>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Administrative Agent has not commenced the exercise of any remedies following an Event of Default;</w:t>
      </w:r>
    </w:p>
    <w:p>
      <w:pPr>
        <w:spacing w:after="0" w:line="115" w:lineRule="exact"/>
        <w:rPr>
          <w:rFonts w:ascii="Arial" w:cs="Arial" w:eastAsia="Arial" w:hAnsi="Arial"/>
          <w:sz w:val="18"/>
          <w:szCs w:val="18"/>
          <w:color w:val="auto"/>
        </w:rPr>
      </w:pPr>
    </w:p>
    <w:p>
      <w:pPr>
        <w:ind w:left="1180" w:hanging="319"/>
        <w:spacing w:after="0"/>
        <w:tabs>
          <w:tab w:leader="none" w:pos="11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Unfunded Revolving Commitments are qualified to be reduced dollar-for-dollar by the amount of such withdrawal; and</w:t>
      </w:r>
    </w:p>
    <w:p>
      <w:pPr>
        <w:spacing w:after="0" w:line="115" w:lineRule="exact"/>
        <w:rPr>
          <w:rFonts w:ascii="Arial" w:cs="Arial" w:eastAsia="Arial" w:hAnsi="Arial"/>
          <w:sz w:val="18"/>
          <w:szCs w:val="18"/>
          <w:color w:val="auto"/>
        </w:rPr>
      </w:pPr>
    </w:p>
    <w:p>
      <w:pPr>
        <w:jc w:val="both"/>
        <w:ind w:left="440" w:right="60" w:firstLine="421"/>
        <w:spacing w:after="0" w:line="310" w:lineRule="auto"/>
        <w:tabs>
          <w:tab w:leader="none" w:pos="116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Servicer provides at least one Business Day’s prior written notice to the Administrative Agent, the Collateral Agent and the Account Bank by facsimile or email (to be received no later than 1:00 p.m. on such day) of the request to withdraw funds from the URCA Account and the amount of such request, accompanied by an URCA Disbursement Request, executed by the Borrower and a Responsible Officer of the Servicer.</w:t>
      </w:r>
    </w:p>
    <w:p>
      <w:pPr>
        <w:spacing w:after="0" w:line="39" w:lineRule="exact"/>
        <w:rPr>
          <w:rFonts w:ascii="Arial" w:cs="Arial" w:eastAsia="Arial" w:hAnsi="Arial"/>
          <w:sz w:val="16"/>
          <w:szCs w:val="16"/>
          <w:color w:val="auto"/>
        </w:rPr>
      </w:pPr>
    </w:p>
    <w:p>
      <w:pPr>
        <w:ind w:right="20" w:firstLine="989"/>
        <w:spacing w:after="0" w:line="255" w:lineRule="auto"/>
        <w:tabs>
          <w:tab w:leader="none" w:pos="12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On any Determination Date prior to the Final Maturity Date and following the distributions set forth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the Borrower may request, and the Collateral Agent hereby directs, the Account Bank to withdraw from the URCA Account and distribute all or any portion of the URCA Excess Amounts, as such amount is calculated and certified by the Borrower and the Servicer in the related URCA Disbursement Request to take account of any of the events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the defined term “Unfunded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following conditions are satisfied:</w:t>
      </w:r>
    </w:p>
    <w:p>
      <w:pPr>
        <w:spacing w:after="0" w:line="83" w:lineRule="exact"/>
        <w:rPr>
          <w:sz w:val="20"/>
          <w:szCs w:val="20"/>
          <w:color w:val="auto"/>
        </w:rPr>
      </w:pPr>
    </w:p>
    <w:p>
      <w:pPr>
        <w:ind w:left="1080" w:hanging="219"/>
        <w:spacing w:after="0"/>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 Servicer Termination Event or Event of Default has occurred and is continuing, and no Unmatured Event of Default exists; and</w:t>
      </w:r>
    </w:p>
    <w:p>
      <w:pPr>
        <w:spacing w:after="0" w:line="127" w:lineRule="exact"/>
        <w:rPr>
          <w:rFonts w:ascii="Arial" w:cs="Arial" w:eastAsia="Arial" w:hAnsi="Arial"/>
          <w:sz w:val="17"/>
          <w:szCs w:val="17"/>
          <w:color w:val="auto"/>
        </w:rPr>
      </w:pPr>
    </w:p>
    <w:p>
      <w:pPr>
        <w:jc w:val="both"/>
        <w:ind w:left="440" w:right="60" w:firstLine="421"/>
        <w:spacing w:after="0" w:line="310" w:lineRule="auto"/>
        <w:tabs>
          <w:tab w:leader="none" w:pos="112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Servicer provides at least one Business Day’s prior written notice to the Administrative Agent, the Collateral Agent and the Account Bank by facsimile or email (to be received no later than 1:00 p.m. on such day) of the request to withdraw funds from the URCA Account and the amount of such request, accompanied by an URCA Disbursement Request, executed by the Borrower and a Responsible Officer of the Servicer.</w:t>
      </w:r>
    </w:p>
    <w:p>
      <w:pPr>
        <w:spacing w:after="0" w:line="39" w:lineRule="exact"/>
        <w:rPr>
          <w:rFonts w:ascii="Arial" w:cs="Arial" w:eastAsia="Arial" w:hAnsi="Arial"/>
          <w:sz w:val="16"/>
          <w:szCs w:val="16"/>
          <w:color w:val="auto"/>
        </w:rPr>
      </w:pPr>
    </w:p>
    <w:p>
      <w:pPr>
        <w:ind w:firstLine="989"/>
        <w:spacing w:after="0" w:line="262" w:lineRule="auto"/>
        <w:tabs>
          <w:tab w:leader="none" w:pos="123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On any Business Day during the Amortization Period, the Borrower, at its sole discretion, may request, and the Collateral Agent hereby directs, the Account Bank to withdraw from the URCA Account and distribute all or any portion of the URCA Excess Amounts as requested by the Borrower, to be deposited into the Collection Account.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460" w:top="273" w:right="479" w:bottom="1440" w:gutter="0" w:footer="0" w:header="0"/>
        </w:sectPr>
      </w:pPr>
    </w:p>
    <w:bookmarkStart w:id="156" w:name="page157"/>
    <w:bookmarkEnd w:id="156"/>
    <w:p>
      <w:pPr>
        <w:ind w:right="20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Upon the occurrence of the Final Maturity Date, the Collateral Agent shall direct the Account Bank to (and if not directed by the Collateral Agent, the Account Bank shall) immediately distribute any and all amounts and securities held in the URCA Account into the Collection Account.</w:t>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3" w:lineRule="exact"/>
        <w:rPr>
          <w:sz w:val="20"/>
          <w:szCs w:val="20"/>
          <w:color w:val="auto"/>
        </w:rPr>
      </w:pPr>
    </w:p>
    <w:p>
      <w:pPr>
        <w:ind w:right="480" w:firstLine="987"/>
        <w:spacing w:after="0" w:line="262"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Reinvestment of Principal Collections</w:t>
      </w:r>
      <w:r>
        <w:rPr>
          <w:rFonts w:ascii="Arial" w:cs="Arial" w:eastAsia="Arial" w:hAnsi="Arial"/>
          <w:sz w:val="18"/>
          <w:szCs w:val="18"/>
          <w:color w:val="auto"/>
        </w:rPr>
        <w:t>. On the terms and conditions hereinafter set forth as certified in writing to the Collateral Agent, the Administrative Agent and the Lender Agents, prior to the end of the Revolving Period, the Servicer may, to the extent of any Principal Collections on deposit in the Principal Collection Account:</w:t>
      </w:r>
    </w:p>
    <w:p>
      <w:pPr>
        <w:spacing w:after="0" w:line="75" w:lineRule="exact"/>
        <w:rPr>
          <w:sz w:val="20"/>
          <w:szCs w:val="20"/>
          <w:color w:val="auto"/>
        </w:rPr>
      </w:pPr>
    </w:p>
    <w:p>
      <w:pPr>
        <w:ind w:right="500" w:firstLine="989"/>
        <w:spacing w:after="0" w:line="275" w:lineRule="auto"/>
        <w:tabs>
          <w:tab w:leader="none" w:pos="123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withdraw such funds for the purpose of reinvesting in additional Eligible Loan Assets to be Pledged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following conditions are satisfied:</w:t>
      </w:r>
    </w:p>
    <w:p>
      <w:pPr>
        <w:spacing w:after="0" w:line="63" w:lineRule="exact"/>
        <w:rPr>
          <w:rFonts w:ascii="Arial" w:cs="Arial" w:eastAsia="Arial" w:hAnsi="Arial"/>
          <w:sz w:val="18"/>
          <w:szCs w:val="18"/>
          <w:color w:val="auto"/>
        </w:rPr>
      </w:pPr>
    </w:p>
    <w:p>
      <w:pPr>
        <w:ind w:left="1080" w:hanging="219"/>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all conditions precedent set forth in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have been satisfied;</w:t>
      </w:r>
    </w:p>
    <w:p>
      <w:pPr>
        <w:spacing w:after="0" w:line="115" w:lineRule="exact"/>
        <w:rPr>
          <w:rFonts w:ascii="Arial" w:cs="Arial" w:eastAsia="Arial" w:hAnsi="Arial"/>
          <w:sz w:val="18"/>
          <w:szCs w:val="18"/>
          <w:color w:val="auto"/>
        </w:rPr>
      </w:pPr>
    </w:p>
    <w:p>
      <w:pPr>
        <w:ind w:left="440" w:right="100" w:firstLine="421"/>
        <w:spacing w:after="0" w:line="258" w:lineRule="auto"/>
        <w:tabs>
          <w:tab w:leader="none" w:pos="11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 Servicer Termination Event or Event of Default has occurred and is continuing, or would result from such withdrawal and reinvestment, and no Unmatured Event of Default, Borrowing Base Deficiency or Foreign Currency Excess Exposure exists or would result from such withdrawal and reinvestment (except to the extent such withdrawal and reinvestment will cure such Foreign Currency Excess Exposure or Unmatured Event of Default);</w:t>
      </w:r>
    </w:p>
    <w:p>
      <w:pPr>
        <w:spacing w:after="0" w:line="77" w:lineRule="exact"/>
        <w:rPr>
          <w:rFonts w:ascii="Arial" w:cs="Arial" w:eastAsia="Arial" w:hAnsi="Arial"/>
          <w:sz w:val="18"/>
          <w:szCs w:val="18"/>
          <w:color w:val="auto"/>
        </w:rPr>
      </w:pPr>
    </w:p>
    <w:p>
      <w:pPr>
        <w:ind w:left="440" w:right="160" w:firstLine="421"/>
        <w:spacing w:after="0" w:line="275" w:lineRule="auto"/>
        <w:tabs>
          <w:tab w:leader="none" w:pos="117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4.03</w:t>
      </w:r>
      <w:r>
        <w:rPr>
          <w:rFonts w:ascii="Arial" w:cs="Arial" w:eastAsia="Arial" w:hAnsi="Arial"/>
          <w:sz w:val="18"/>
          <w:szCs w:val="18"/>
          <w:color w:val="auto"/>
        </w:rPr>
        <w:t xml:space="preserve"> hereof shall continue to be correct in all material respects, except to the extent relating to an earlier date;</w:t>
      </w:r>
    </w:p>
    <w:p>
      <w:pPr>
        <w:spacing w:after="0" w:line="63" w:lineRule="exact"/>
        <w:rPr>
          <w:rFonts w:ascii="Arial" w:cs="Arial" w:eastAsia="Arial" w:hAnsi="Arial"/>
          <w:sz w:val="18"/>
          <w:szCs w:val="18"/>
          <w:color w:val="auto"/>
        </w:rPr>
      </w:pPr>
    </w:p>
    <w:p>
      <w:pPr>
        <w:ind w:left="440" w:firstLine="421"/>
        <w:spacing w:after="0" w:line="275" w:lineRule="auto"/>
        <w:tabs>
          <w:tab w:leader="none" w:pos="11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Servicer provides same day written notice to the Administrative Agent and the Collateral Agent by facsimile or email (to be received no later than 1:00 p.m. on such day) of the request to withdraw Principal Collections and the amount of such request;</w:t>
      </w:r>
    </w:p>
    <w:p>
      <w:pPr>
        <w:spacing w:after="0" w:line="63" w:lineRule="exact"/>
        <w:rPr>
          <w:rFonts w:ascii="Arial" w:cs="Arial" w:eastAsia="Arial" w:hAnsi="Arial"/>
          <w:sz w:val="18"/>
          <w:szCs w:val="18"/>
          <w:color w:val="auto"/>
        </w:rPr>
      </w:pPr>
    </w:p>
    <w:p>
      <w:pPr>
        <w:ind w:left="440" w:right="600" w:firstLine="421"/>
        <w:spacing w:after="0" w:line="275" w:lineRule="auto"/>
        <w:tabs>
          <w:tab w:leader="none" w:pos="11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notice required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shall be accompanied by a Disbursement Request and a Borrowing Base Certificate, each executed by the Borrower and a Responsible Officer of the Servicer; and</w:t>
      </w:r>
    </w:p>
    <w:p>
      <w:pPr>
        <w:spacing w:after="0" w:line="63" w:lineRule="exact"/>
        <w:rPr>
          <w:rFonts w:ascii="Arial" w:cs="Arial" w:eastAsia="Arial" w:hAnsi="Arial"/>
          <w:sz w:val="18"/>
          <w:szCs w:val="18"/>
          <w:color w:val="auto"/>
        </w:rPr>
      </w:pPr>
    </w:p>
    <w:p>
      <w:pPr>
        <w:ind w:left="440" w:right="500" w:firstLine="421"/>
        <w:spacing w:after="0" w:line="339" w:lineRule="auto"/>
        <w:tabs>
          <w:tab w:leader="none" w:pos="116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Collateral Agent provides to the Administrative Agent by facsimile (to be received no later than 1:30 p.m. on that same day) a statement reflecting the total amount on deposit as of the opening of business on such day in the Principal Collection Account; or</w:t>
      </w:r>
    </w:p>
    <w:p>
      <w:pPr>
        <w:spacing w:after="0" w:line="17" w:lineRule="exact"/>
        <w:rPr>
          <w:rFonts w:ascii="Arial" w:cs="Arial" w:eastAsia="Arial" w:hAnsi="Arial"/>
          <w:sz w:val="16"/>
          <w:szCs w:val="16"/>
          <w:color w:val="auto"/>
        </w:rPr>
      </w:pPr>
    </w:p>
    <w:p>
      <w:pPr>
        <w:ind w:right="120" w:firstLine="989"/>
        <w:spacing w:after="0" w:line="275" w:lineRule="auto"/>
        <w:tabs>
          <w:tab w:leader="none" w:pos="12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withdraw such funds for the purpose of making payments in respect of the Advances Outstanding at such time in accordance with and subject to the terms of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71" w:lineRule="exact"/>
        <w:rPr>
          <w:sz w:val="20"/>
          <w:szCs w:val="20"/>
          <w:color w:val="auto"/>
        </w:rPr>
      </w:pPr>
    </w:p>
    <w:p>
      <w:pPr>
        <w:ind w:firstLine="987"/>
        <w:spacing w:after="0" w:line="284" w:lineRule="auto"/>
        <w:rPr>
          <w:sz w:val="20"/>
          <w:szCs w:val="20"/>
          <w:color w:val="auto"/>
        </w:rPr>
      </w:pPr>
      <w:r>
        <w:rPr>
          <w:rFonts w:ascii="Arial" w:cs="Arial" w:eastAsia="Arial" w:hAnsi="Arial"/>
          <w:sz w:val="17"/>
          <w:szCs w:val="17"/>
          <w:color w:val="auto"/>
        </w:rPr>
        <w:t xml:space="preserve">Upon the satisfaction of the applicable conditions set forth in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(as certified by the Borrower to the Collateral Agent and the Administrative Agent), the Collateral Agent will release funds from the Principal Collection Account to the Servicer in an amount not to exceed the lesser of (A) the amount requested by the Servicer and (B) the amount on deposit in the Principal Collection Account on such day.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0"/>
          </w:cols>
          <w:pgMar w:left="460" w:top="273" w:right="479" w:bottom="1440" w:gutter="0" w:footer="0" w:header="0"/>
        </w:sectPr>
      </w:pPr>
    </w:p>
    <w:bookmarkStart w:id="157" w:name="page158"/>
    <w:bookmarkEnd w:id="157"/>
    <w:p>
      <w:pPr>
        <w:ind w:right="20" w:firstLine="987"/>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2.23 </w:t>
      </w:r>
      <w:r>
        <w:rPr>
          <w:rFonts w:ascii="Arial" w:cs="Arial" w:eastAsia="Arial" w:hAnsi="Arial"/>
          <w:sz w:val="16"/>
          <w:szCs w:val="16"/>
          <w:u w:val="single" w:color="auto"/>
          <w:color w:val="auto"/>
        </w:rPr>
        <w:t>Extension of Scheduled Commitment Termination Date</w:t>
      </w:r>
      <w:r>
        <w:rPr>
          <w:rFonts w:ascii="Arial" w:cs="Arial" w:eastAsia="Arial" w:hAnsi="Arial"/>
          <w:sz w:val="16"/>
          <w:szCs w:val="16"/>
          <w:color w:val="auto"/>
        </w:rPr>
        <w:t xml:space="preserve">. The Borrower may, within 60 days but not less than 45 days prior to the Scheduled Commitment Termination Date, make a request to extend the date set forth in the definition of “Scheduled Commitment Termination Date” for an additional period of one year. The Scheduled Commitment Termination Date may be extended by one year by mutual agreement among the Administrative Agent, each Lender, the Borrower, the Servicer and each of the other parties hereto and in conformance with </w:t>
      </w:r>
      <w:r>
        <w:rPr>
          <w:rFonts w:ascii="Arial" w:cs="Arial" w:eastAsia="Arial" w:hAnsi="Arial"/>
          <w:sz w:val="16"/>
          <w:szCs w:val="16"/>
          <w:u w:val="single" w:color="auto"/>
          <w:color w:val="auto"/>
        </w:rPr>
        <w:t>Section 12.01(b)</w:t>
      </w:r>
      <w:r>
        <w:rPr>
          <w:rFonts w:ascii="Arial" w:cs="Arial" w:eastAsia="Arial" w:hAnsi="Arial"/>
          <w:sz w:val="16"/>
          <w:szCs w:val="16"/>
          <w:color w:val="auto"/>
        </w:rPr>
        <w:t xml:space="preserve"> (such extension, the “</w:t>
      </w:r>
      <w:r>
        <w:rPr>
          <w:rFonts w:ascii="Arial" w:cs="Arial" w:eastAsia="Arial" w:hAnsi="Arial"/>
          <w:sz w:val="16"/>
          <w:szCs w:val="16"/>
          <w:u w:val="single" w:color="auto"/>
          <w:color w:val="auto"/>
        </w:rPr>
        <w:t>Initial Extension</w:t>
      </w:r>
      <w:r>
        <w:rPr>
          <w:rFonts w:ascii="Arial" w:cs="Arial" w:eastAsia="Arial" w:hAnsi="Arial"/>
          <w:sz w:val="16"/>
          <w:szCs w:val="16"/>
          <w:color w:val="auto"/>
        </w:rPr>
        <w:t xml:space="preserve">”). Following such Initial Extension, the Borrower may, within 60 days but not less than 45 days prior to the Scheduled Commitment Termination Date (as revised by the Initial Extension), make a request to extend the date set forth in the definition of “Scheduled Commitment Termination Date” (as revised by the Initial Extension) for an additional period of one year. The Scheduled Commitment Termination Date (as revised by the Initial Extension) may be extended by one year upon the mutual agreement among the Administrative Agent, each Lender, the Borrower, the Servicer and each of the other parties hereto and in conformance with </w:t>
      </w:r>
      <w:r>
        <w:rPr>
          <w:rFonts w:ascii="Arial" w:cs="Arial" w:eastAsia="Arial" w:hAnsi="Arial"/>
          <w:sz w:val="16"/>
          <w:szCs w:val="16"/>
          <w:u w:val="single" w:color="auto"/>
          <w:color w:val="auto"/>
        </w:rPr>
        <w:t>Section 12.01(b)</w:t>
      </w:r>
      <w:r>
        <w:rPr>
          <w:rFonts w:ascii="Arial" w:cs="Arial" w:eastAsia="Arial" w:hAnsi="Arial"/>
          <w:sz w:val="16"/>
          <w:szCs w:val="16"/>
          <w:color w:val="auto"/>
        </w:rPr>
        <w:t xml:space="preserve"> (such extension, the “</w:t>
      </w:r>
      <w:r>
        <w:rPr>
          <w:rFonts w:ascii="Arial" w:cs="Arial" w:eastAsia="Arial" w:hAnsi="Arial"/>
          <w:sz w:val="16"/>
          <w:szCs w:val="16"/>
          <w:u w:val="single" w:color="auto"/>
          <w:color w:val="auto"/>
        </w:rPr>
        <w:t>Second Extension</w:t>
      </w:r>
      <w:r>
        <w:rPr>
          <w:rFonts w:ascii="Arial" w:cs="Arial" w:eastAsia="Arial" w:hAnsi="Arial"/>
          <w:sz w:val="16"/>
          <w:szCs w:val="16"/>
          <w:color w:val="auto"/>
        </w:rPr>
        <w:t>”). The effectiveness of either the Initial Extension or the Second Extension shall be conditioned upon the payment of an additional fee set forth in the Agent Fee Letter in immediately available funds. The Borrower confirms that each other party hereto, in their sole and absolute discretion, without regard to the value or performance of the Loan Assets or any other factor, may elect not to extend the Scheduled Commitment Termination Date.</w:t>
      </w:r>
    </w:p>
    <w:p>
      <w:pPr>
        <w:spacing w:after="0" w:line="173"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 xml:space="preserve">In connection with the Initial Extension or the Second Extension, unless the parties expressly indicate to the contrary, the Scheduled Maturity Date shall be automatically extended by the same extension period, in conformance with </w:t>
      </w:r>
      <w:r>
        <w:rPr>
          <w:rFonts w:ascii="Arial" w:cs="Arial" w:eastAsia="Arial" w:hAnsi="Arial"/>
          <w:sz w:val="18"/>
          <w:szCs w:val="18"/>
          <w:u w:val="single" w:color="auto"/>
          <w:color w:val="auto"/>
        </w:rPr>
        <w:t>Section 12.01(b)</w:t>
      </w:r>
      <w:r>
        <w:rPr>
          <w:rFonts w:ascii="Arial" w:cs="Arial" w:eastAsia="Arial" w:hAnsi="Arial"/>
          <w:sz w:val="18"/>
          <w:szCs w:val="18"/>
          <w:color w:val="auto"/>
        </w:rPr>
        <w: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2.24 </w:t>
      </w:r>
      <w:r>
        <w:rPr>
          <w:rFonts w:ascii="Arial" w:cs="Arial" w:eastAsia="Arial" w:hAnsi="Arial"/>
          <w:sz w:val="16"/>
          <w:szCs w:val="16"/>
          <w:u w:val="single" w:color="auto"/>
          <w:color w:val="auto"/>
        </w:rPr>
        <w:t>Defaulting Lenders</w:t>
      </w:r>
      <w:r>
        <w:rPr>
          <w:rFonts w:ascii="Arial" w:cs="Arial" w:eastAsia="Arial" w:hAnsi="Arial"/>
          <w:sz w:val="16"/>
          <w:szCs w:val="16"/>
          <w:color w:val="auto"/>
        </w:rPr>
        <w:t>. If any Liquidity Bank or Institutional Lender becomes a Defaulting Lender, then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will apply to the applicable Defaulting Lender Group until the Default Period has ended, to the extent permitted by Applicable Law:</w:t>
      </w:r>
    </w:p>
    <w:p>
      <w:pPr>
        <w:spacing w:after="0" w:line="112" w:lineRule="exact"/>
        <w:rPr>
          <w:sz w:val="20"/>
          <w:szCs w:val="20"/>
          <w:color w:val="auto"/>
        </w:rPr>
      </w:pPr>
    </w:p>
    <w:p>
      <w:pPr>
        <w:ind w:right="80" w:firstLine="989"/>
        <w:spacing w:after="0" w:line="305" w:lineRule="auto"/>
        <w:tabs>
          <w:tab w:leader="none" w:pos="123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Each such Defaulting Lender’s right to approve or disapprove any amendment, waiver, or consent with respect to this Agreement shall be restricted as set forth in the definition of Majority Lenders, Required Lenders and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12.01(d)</w:t>
      </w:r>
      <w:r>
        <w:rPr>
          <w:rFonts w:ascii="Arial" w:cs="Arial" w:eastAsia="Arial" w:hAnsi="Arial"/>
          <w:sz w:val="17"/>
          <w:szCs w:val="17"/>
          <w:color w:val="auto"/>
        </w:rPr>
        <w:t>.</w:t>
      </w:r>
    </w:p>
    <w:p>
      <w:pPr>
        <w:spacing w:after="0" w:line="40" w:lineRule="exact"/>
        <w:rPr>
          <w:rFonts w:ascii="Arial" w:cs="Arial" w:eastAsia="Arial" w:hAnsi="Arial"/>
          <w:sz w:val="17"/>
          <w:szCs w:val="17"/>
          <w:color w:val="auto"/>
        </w:rPr>
      </w:pPr>
    </w:p>
    <w:p>
      <w:pPr>
        <w:ind w:right="40" w:firstLine="989"/>
        <w:spacing w:after="0" w:line="262"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Until such time as the Default Excess of any such Defaulting Lender Group has been reduced to zero, any prepayment of the aggregate Advances outstanding will be applied to the Advances of the Non-Defaulting Lender Groups in accordance with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in accordance with the Adjusted Pro Rata Shares.</w:t>
      </w:r>
    </w:p>
    <w:p>
      <w:pPr>
        <w:spacing w:after="0" w:line="74" w:lineRule="exact"/>
        <w:rPr>
          <w:rFonts w:ascii="Arial" w:cs="Arial" w:eastAsia="Arial" w:hAnsi="Arial"/>
          <w:sz w:val="18"/>
          <w:szCs w:val="18"/>
          <w:color w:val="auto"/>
        </w:rPr>
      </w:pPr>
    </w:p>
    <w:p>
      <w:pPr>
        <w:ind w:firstLine="989"/>
        <w:spacing w:after="0" w:line="262" w:lineRule="auto"/>
        <w:tabs>
          <w:tab w:leader="none" w:pos="123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amount of each such Defaulting Lender’s Commitment and Advances will be excluded for purposes of calculating the Undrawn Fee, and each such Defaulting Lender will not be entitled to receive any Undrawn Fee in connection with such Defaulting Lender’s Commitment for any Default Period relating to such Defaulting Lender.</w:t>
      </w:r>
    </w:p>
    <w:p>
      <w:pPr>
        <w:spacing w:after="0" w:line="74" w:lineRule="exact"/>
        <w:rPr>
          <w:rFonts w:ascii="Arial" w:cs="Arial" w:eastAsia="Arial" w:hAnsi="Arial"/>
          <w:sz w:val="18"/>
          <w:szCs w:val="18"/>
          <w:color w:val="auto"/>
        </w:rPr>
      </w:pPr>
    </w:p>
    <w:p>
      <w:pPr>
        <w:ind w:right="80" w:firstLine="989"/>
        <w:spacing w:after="0" w:line="258" w:lineRule="auto"/>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All or any part of each such Defaulting Lender’s participation in Advances will be reallocated among the Non-Defaulting Lender Groups in accordance with their respective Adjusted Pro Rata Shares, but only to the extent that (i) the conditions set forth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are satisfied at the time of such reallocation (and, unless the Borrower has otherwise notified the Administrative Agent at such time, the Borrower will be deemed to have represented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60"/>
          </w:cols>
          <w:pgMar w:left="460" w:top="273" w:right="479" w:bottom="1440" w:gutter="0" w:footer="0" w:header="0"/>
        </w:sectPr>
      </w:pPr>
    </w:p>
    <w:bookmarkStart w:id="158" w:name="page159"/>
    <w:bookmarkEnd w:id="158"/>
    <w:p>
      <w:pPr>
        <w:ind w:right="18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warranted that such conditions are satisfied at such time); and (ii) such reallocation does not cause the aggregate Advances of any Non-Defaulting Lender to exceed such Non-Defaulting Lender’s Commitment. No such reallocation will constitute a waiver or release of any claim of any party under this Agreement against a Defaulting Lender arising from that Lender’s having become a Defaulting Lender, including any claim of a Non-Defaulting Lender as a result of such Non-Defaulting Lender’s increased exposure following such reallocation.</w:t>
      </w:r>
    </w:p>
    <w:p>
      <w:pPr>
        <w:spacing w:after="0" w:line="65" w:lineRule="exact"/>
        <w:rPr>
          <w:sz w:val="20"/>
          <w:szCs w:val="20"/>
          <w:color w:val="auto"/>
        </w:rPr>
      </w:pPr>
    </w:p>
    <w:p>
      <w:pPr>
        <w:ind w:firstLine="989"/>
        <w:spacing w:after="0" w:line="270" w:lineRule="auto"/>
        <w:tabs>
          <w:tab w:leader="none" w:pos="123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If each of the Administrative Agent, the Servicer and the Borrower agree that a Defaulting Lender has adequately remedied all matters that resulted in it becoming a Defaulting Lender, then the Advances of the Lender Groups will be readjusted to reflect the inclusion of such Defaulting Lender’s Commitment and on such date such Defaulting Lender shall purchase at par so much of the Advances of the other Lender Groups or take such other actions as the Administrative Agent determines to be necessary to cause the aggregate Advances outstanding to be held by the Lender Groups in accordance with their respective Commitments and Pro Rata Shares (without giving effect to </w:t>
      </w:r>
      <w:r>
        <w:rPr>
          <w:rFonts w:ascii="Arial" w:cs="Arial" w:eastAsia="Arial" w:hAnsi="Arial"/>
          <w:sz w:val="17"/>
          <w:szCs w:val="17"/>
          <w:u w:val="single" w:color="auto"/>
          <w:color w:val="auto"/>
        </w:rPr>
        <w:t>Section 2.24(d)</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w:t>
      </w:r>
      <w:r>
        <w:rPr>
          <w:rFonts w:ascii="Arial" w:cs="Arial" w:eastAsia="Arial" w:hAnsi="Arial"/>
          <w:sz w:val="17"/>
          <w:szCs w:val="17"/>
          <w:u w:val="single" w:color="auto"/>
          <w:color w:val="auto"/>
        </w:rPr>
        <w:t>Section 2.18(b)</w:t>
      </w:r>
      <w:r>
        <w:rPr>
          <w:rFonts w:ascii="Arial" w:cs="Arial" w:eastAsia="Arial" w:hAnsi="Arial"/>
          <w:sz w:val="17"/>
          <w:szCs w:val="17"/>
          <w:color w:val="auto"/>
        </w:rPr>
        <w:t>, neither the Non-Defaulting Lenders nor the Borrower shall be liable for any Breakage Fees that may be incurred in connection with such readjustment of Advances.</w:t>
      </w:r>
    </w:p>
    <w:p>
      <w:pPr>
        <w:spacing w:after="0" w:line="181" w:lineRule="exact"/>
        <w:rPr>
          <w:sz w:val="20"/>
          <w:szCs w:val="20"/>
          <w:color w:val="auto"/>
        </w:rPr>
      </w:pPr>
    </w:p>
    <w:p>
      <w:pPr>
        <w:ind w:right="60" w:firstLine="438"/>
        <w:spacing w:after="0" w:line="254" w:lineRule="auto"/>
        <w:rPr>
          <w:sz w:val="20"/>
          <w:szCs w:val="20"/>
          <w:color w:val="auto"/>
        </w:rPr>
      </w:pPr>
      <w:r>
        <w:rPr>
          <w:rFonts w:ascii="Arial" w:cs="Arial" w:eastAsia="Arial" w:hAnsi="Arial"/>
          <w:sz w:val="18"/>
          <w:szCs w:val="18"/>
          <w:color w:val="auto"/>
        </w:rPr>
        <w:t xml:space="preserve">No amount of the Commitment of any Liquidity Bank or Institutional Lender will be increased or otherwise affected by, and, except as otherwise expressly provided in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performance by the Borrower of its obligations under this Agreement and the other Transaction Documents will not be excused or otherwise modified as a result of, any Funding Default or the operation of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The rights and remedies against a Defaulting Lender under this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are in addition to other rights and remedies that the Borrower may have against such Defaulting Lender with respect to any Funding Default and that the Administrative Agent or any Lender, Lender Agent or Lender Group may have against such Defaulting Lender with respect to any Funding Default.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w:t>
      </w:r>
    </w:p>
    <w:p>
      <w:pPr>
        <w:spacing w:after="0" w:line="227"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(a) This Agreement shall be effective upon, and no Lender shall be obligated to make any Advance hereunder from and after the Closing Date, nor shall any Lender, the Collateral Custodian, the Backup Servicer or the Administrative Agent be obligated to take, fulfill or perform any other action hereunder, until, the satisfaction of the following conditions precedent, as determined in the sole discretion of, or waived in writing by, the Administrative Agent:</w:t>
      </w:r>
    </w:p>
    <w:p>
      <w:pPr>
        <w:spacing w:after="0" w:line="77" w:lineRule="exact"/>
        <w:rPr>
          <w:sz w:val="20"/>
          <w:szCs w:val="20"/>
          <w:color w:val="auto"/>
        </w:rPr>
      </w:pPr>
    </w:p>
    <w:p>
      <w:pPr>
        <w:ind w:left="440" w:right="120" w:firstLine="421"/>
        <w:spacing w:after="0" w:line="254" w:lineRule="auto"/>
        <w:tabs>
          <w:tab w:leader="none" w:pos="107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this Agreement, each Liquidity Agreement, each Hedging Agreement, each collateral assignment agreement (including, without limitation, the assignment of the Contribution Agreement) and all other Transaction Documents and all other agreements and opinions of counsel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or counterparts hereof or thereof shall have been duly executed by, and delivered to, the parties hereto and thereto and the Administrative Agent shall have received such other documents, instruments, agreements and legal opinions as any Lender Agent shall reasonably request in connection with the transactions contemplated by this Agreement, on or prior to the Closing Date, each in form and substance satisfactory to the Administrative Agent;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60" w:top="273" w:right="479" w:bottom="1440" w:gutter="0" w:footer="0" w:header="0"/>
        </w:sectPr>
      </w:pPr>
    </w:p>
    <w:bookmarkStart w:id="159" w:name="page160"/>
    <w:bookmarkEnd w:id="159"/>
    <w:p>
      <w:pPr>
        <w:ind w:right="260" w:firstLine="421"/>
        <w:spacing w:after="0" w:line="275" w:lineRule="auto"/>
        <w:tabs>
          <w:tab w:leader="none" w:pos="6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all reasonable up-front expenses and fees (including legal fees, any fees required under the Fee Letters) that are invoiced at or prior to the Closing Date shall have been paid in full;</w:t>
      </w:r>
    </w:p>
    <w:p>
      <w:pPr>
        <w:spacing w:after="0" w:line="63" w:lineRule="exact"/>
        <w:rPr>
          <w:rFonts w:ascii="Arial" w:cs="Arial" w:eastAsia="Arial" w:hAnsi="Arial"/>
          <w:sz w:val="18"/>
          <w:szCs w:val="18"/>
          <w:color w:val="auto"/>
        </w:rPr>
      </w:pPr>
    </w:p>
    <w:p>
      <w:pPr>
        <w:ind w:right="20" w:firstLine="421"/>
        <w:spacing w:after="0" w:line="255" w:lineRule="auto"/>
        <w:tabs>
          <w:tab w:leader="none" w:pos="7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other acts and conditions (including, without limitation, the obtaining of any necessary consents and regulatory approvals and the making of any required filings, recordings or registrations) required to be done and performed and to have happened prior to the execution, delivery and performance of this Agreement and all related Transaction Documents and to constitute the same legal, valid and binding obligations, enforceable in accordance with their respective terms, shall have been done and performed and shall have occurred in due and strict compliance with all Applicable Law;</w:t>
      </w:r>
    </w:p>
    <w:p>
      <w:pPr>
        <w:spacing w:after="0" w:line="82" w:lineRule="exact"/>
        <w:rPr>
          <w:rFonts w:ascii="Arial" w:cs="Arial" w:eastAsia="Arial" w:hAnsi="Arial"/>
          <w:sz w:val="18"/>
          <w:szCs w:val="18"/>
          <w:color w:val="auto"/>
        </w:rPr>
      </w:pPr>
    </w:p>
    <w:p>
      <w:pPr>
        <w:ind w:right="140" w:firstLine="421"/>
        <w:spacing w:after="0" w:line="284" w:lineRule="auto"/>
        <w:tabs>
          <w:tab w:leader="none" w:pos="72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the reasonable judgment of the Administrative Agent, there has not been any change after the date hereof in Applicable Law which adversely affects any Lender’s or the Administrative Agent’s ability to enter into the transactions contemplated by the Transaction Documents or any Material Adverse Effect or material disruption in the financial, banking or commercial loan or capital markets generally;</w:t>
      </w:r>
    </w:p>
    <w:p>
      <w:pPr>
        <w:spacing w:after="0" w:line="58" w:lineRule="exact"/>
        <w:rPr>
          <w:rFonts w:ascii="Arial" w:cs="Arial" w:eastAsia="Arial" w:hAnsi="Arial"/>
          <w:sz w:val="17"/>
          <w:szCs w:val="17"/>
          <w:color w:val="auto"/>
        </w:rPr>
      </w:pPr>
    </w:p>
    <w:p>
      <w:pPr>
        <w:ind w:right="180" w:firstLine="421"/>
        <w:spacing w:after="0" w:line="305" w:lineRule="auto"/>
        <w:tabs>
          <w:tab w:leader="none" w:pos="67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and all information submitted to the Administrative Agent by the Borrower, the Transferor, the Servicer, Solar Management or any of their Affiliates is true, accurate, complete in all material respects and not misleading in any material respect;</w:t>
      </w:r>
    </w:p>
    <w:p>
      <w:pPr>
        <w:spacing w:after="0" w:line="40" w:lineRule="exact"/>
        <w:rPr>
          <w:rFonts w:ascii="Arial" w:cs="Arial" w:eastAsia="Arial" w:hAnsi="Arial"/>
          <w:sz w:val="17"/>
          <w:szCs w:val="17"/>
          <w:color w:val="auto"/>
        </w:rPr>
      </w:pPr>
    </w:p>
    <w:p>
      <w:pPr>
        <w:ind w:right="60" w:firstLine="421"/>
        <w:spacing w:after="0" w:line="258" w:lineRule="auto"/>
        <w:tabs>
          <w:tab w:leader="none" w:pos="7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Administrative Agent shall have received all documentation and other information requested by the Administrative Agent in its sole discretion or required by regulatory authorities with respect to the Borrower, the Transferor and the Servicer under applicable “know your customer” and anti-money laundering rules and regulations, including, without limitation, the USA PATRIOT Act, all in form and substance reasonably satisfactory to the Administrative Agent and each Lender Agent;</w:t>
      </w:r>
    </w:p>
    <w:p>
      <w:pPr>
        <w:spacing w:after="0" w:line="77" w:lineRule="exact"/>
        <w:rPr>
          <w:rFonts w:ascii="Arial" w:cs="Arial" w:eastAsia="Arial" w:hAnsi="Arial"/>
          <w:sz w:val="18"/>
          <w:szCs w:val="18"/>
          <w:color w:val="auto"/>
        </w:rPr>
      </w:pPr>
    </w:p>
    <w:p>
      <w:pPr>
        <w:ind w:right="220" w:firstLine="421"/>
        <w:spacing w:after="0" w:line="305" w:lineRule="auto"/>
        <w:tabs>
          <w:tab w:leader="none" w:pos="77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 material adverse change on the business, assets, financial conditions or performance of the Servicer and its subsidiaries, including the Borrower, on a consolidated basis, or any material portion of the initial proposed Eligible Loan Assets has occurred;</w:t>
      </w:r>
    </w:p>
    <w:p>
      <w:pPr>
        <w:spacing w:after="0" w:line="40" w:lineRule="exact"/>
        <w:rPr>
          <w:rFonts w:ascii="Arial" w:cs="Arial" w:eastAsia="Arial" w:hAnsi="Arial"/>
          <w:sz w:val="17"/>
          <w:szCs w:val="17"/>
          <w:color w:val="auto"/>
        </w:rPr>
      </w:pPr>
    </w:p>
    <w:p>
      <w:pPr>
        <w:ind w:firstLine="421"/>
        <w:spacing w:after="0" w:line="275" w:lineRule="auto"/>
        <w:tabs>
          <w:tab w:leader="none" w:pos="8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results of Administrative Agent’s legal due diligence relating to the Transferor, the Borrower, the Servicer, the Eligible Loan Assets and the transactions contemplated hereunder are satisfactory to Administrative Agent;</w:t>
      </w:r>
    </w:p>
    <w:p>
      <w:pPr>
        <w:spacing w:after="0" w:line="63" w:lineRule="exact"/>
        <w:rPr>
          <w:rFonts w:ascii="Arial" w:cs="Arial" w:eastAsia="Arial" w:hAnsi="Arial"/>
          <w:sz w:val="18"/>
          <w:szCs w:val="18"/>
          <w:color w:val="auto"/>
        </w:rPr>
      </w:pPr>
    </w:p>
    <w:p>
      <w:pPr>
        <w:ind w:right="580" w:firstLine="421"/>
        <w:spacing w:after="0" w:line="275" w:lineRule="auto"/>
        <w:tabs>
          <w:tab w:leader="none" w:pos="7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applicable Lender Agent shall have received a duly executed copy of its Revolving Note, in a principal amount equal to the Commitment of the related Lender;</w:t>
      </w:r>
    </w:p>
    <w:p>
      <w:pPr>
        <w:spacing w:after="0" w:line="63" w:lineRule="exact"/>
        <w:rPr>
          <w:rFonts w:ascii="Arial" w:cs="Arial" w:eastAsia="Arial" w:hAnsi="Arial"/>
          <w:sz w:val="18"/>
          <w:szCs w:val="18"/>
          <w:color w:val="auto"/>
        </w:rPr>
      </w:pPr>
    </w:p>
    <w:p>
      <w:pPr>
        <w:ind w:right="80" w:firstLine="421"/>
        <w:spacing w:after="0" w:line="310" w:lineRule="auto"/>
        <w:tabs>
          <w:tab w:leader="none" w:pos="67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Each Liquidity Bank whose commercial paper is being rated by one or more Rating Agency shall have received, to the extent required under the terms of such CP Lender’s program documents, the written confirmation of each such Rating Agency that the execution and delivery of this Agreement will not result in a withdrawal or downgrading of the then-current rating of such commercial paper by such Rating Agency;</w:t>
      </w:r>
    </w:p>
    <w:p>
      <w:pPr>
        <w:spacing w:after="0" w:line="8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520"/>
          </w:cols>
          <w:pgMar w:left="900" w:top="273" w:right="479" w:bottom="1440" w:gutter="0" w:footer="0" w:header="0"/>
        </w:sectPr>
      </w:pPr>
    </w:p>
    <w:bookmarkStart w:id="160" w:name="page161"/>
    <w:bookmarkEnd w:id="160"/>
    <w:p>
      <w:pPr>
        <w:ind w:left="440" w:right="40" w:firstLine="421"/>
        <w:spacing w:after="0" w:line="275" w:lineRule="auto"/>
        <w:tabs>
          <w:tab w:leader="none" w:pos="11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Collection Account (including the Principal Collection Account and Interest Collection Account sub-accounts thereunder) has been established pursuant to the Collection Account Agreement;</w:t>
      </w:r>
    </w:p>
    <w:p>
      <w:pPr>
        <w:spacing w:after="0" w:line="63" w:lineRule="exact"/>
        <w:rPr>
          <w:rFonts w:ascii="Arial" w:cs="Arial" w:eastAsia="Arial" w:hAnsi="Arial"/>
          <w:sz w:val="18"/>
          <w:szCs w:val="18"/>
          <w:color w:val="auto"/>
        </w:rPr>
      </w:pPr>
    </w:p>
    <w:p>
      <w:pPr>
        <w:ind w:left="1220" w:hanging="359"/>
        <w:spacing w:after="0"/>
        <w:tabs>
          <w:tab w:leader="none" w:pos="12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URCA Account has been established pursuant to the URCA Account Agreement; and</w:t>
      </w:r>
    </w:p>
    <w:p>
      <w:pPr>
        <w:spacing w:after="0" w:line="115" w:lineRule="exact"/>
        <w:rPr>
          <w:rFonts w:ascii="Arial" w:cs="Arial" w:eastAsia="Arial" w:hAnsi="Arial"/>
          <w:sz w:val="18"/>
          <w:szCs w:val="18"/>
          <w:color w:val="auto"/>
        </w:rPr>
      </w:pPr>
    </w:p>
    <w:p>
      <w:pPr>
        <w:ind w:left="440" w:right="220" w:firstLine="421"/>
        <w:spacing w:after="0" w:line="275" w:lineRule="auto"/>
        <w:tabs>
          <w:tab w:leader="none" w:pos="126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the Borrower has a valid ownership interest in the agreed-upon initial pool of Eligible Loan Assets (as set forth in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as of the Closing Date).</w:t>
      </w:r>
    </w:p>
    <w:p>
      <w:pPr>
        <w:spacing w:after="0" w:line="63" w:lineRule="exact"/>
        <w:rPr>
          <w:rFonts w:ascii="Arial" w:cs="Arial" w:eastAsia="Arial" w:hAnsi="Arial"/>
          <w:sz w:val="18"/>
          <w:szCs w:val="18"/>
          <w:color w:val="auto"/>
        </w:rPr>
      </w:pPr>
    </w:p>
    <w:p>
      <w:pPr>
        <w:ind w:right="360" w:firstLine="989"/>
        <w:spacing w:after="0" w:line="275" w:lineRule="auto"/>
        <w:tabs>
          <w:tab w:leader="none" w:pos="12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By its execution and delivery of this Agreement, each of the Borrower and the Servicer hereby certifies that each of the conditions precedent to the effectiveness of this Agreement set forth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have been satisfied.</w:t>
      </w:r>
    </w:p>
    <w:p>
      <w:pPr>
        <w:spacing w:after="0" w:line="171" w:lineRule="exact"/>
        <w:rPr>
          <w:sz w:val="20"/>
          <w:szCs w:val="20"/>
          <w:color w:val="auto"/>
        </w:rPr>
      </w:pPr>
    </w:p>
    <w:p>
      <w:pPr>
        <w:ind w:right="100" w:firstLine="987"/>
        <w:spacing w:after="0" w:line="27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Conditions Precedent to All Advances</w:t>
      </w:r>
      <w:r>
        <w:rPr>
          <w:rFonts w:ascii="Arial" w:cs="Arial" w:eastAsia="Arial" w:hAnsi="Arial"/>
          <w:sz w:val="18"/>
          <w:szCs w:val="18"/>
          <w:color w:val="auto"/>
        </w:rPr>
        <w:t>. Each Advance (including the Initial Advance, except as explicitly set forth below) to the Borrower from the Lenders shall be subject to the further conditions precedent that:</w:t>
      </w:r>
    </w:p>
    <w:p>
      <w:pPr>
        <w:spacing w:after="0" w:line="63" w:lineRule="exact"/>
        <w:rPr>
          <w:sz w:val="20"/>
          <w:szCs w:val="20"/>
          <w:color w:val="auto"/>
        </w:rPr>
      </w:pPr>
    </w:p>
    <w:p>
      <w:pPr>
        <w:ind w:right="180" w:firstLine="989"/>
        <w:spacing w:after="0" w:line="275" w:lineRule="auto"/>
        <w:tabs>
          <w:tab w:leader="none" w:pos="123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On the related Advance Date of such Advance, the following statements shall be true and correct, and the Borrower by accepting any amount of such Advance shall be deemed to have certified that:</w:t>
      </w:r>
    </w:p>
    <w:p>
      <w:pPr>
        <w:spacing w:after="0" w:line="63" w:lineRule="exact"/>
        <w:rPr>
          <w:rFonts w:ascii="Arial" w:cs="Arial" w:eastAsia="Arial" w:hAnsi="Arial"/>
          <w:sz w:val="18"/>
          <w:szCs w:val="18"/>
          <w:color w:val="auto"/>
        </w:rPr>
      </w:pPr>
    </w:p>
    <w:p>
      <w:pPr>
        <w:ind w:left="440" w:right="140" w:firstLine="421"/>
        <w:spacing w:after="0" w:line="262" w:lineRule="auto"/>
        <w:tabs>
          <w:tab w:leader="none" w:pos="10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Servicer (on behalf of the Borrower) shall have delivered to the Administrative Agent and each Lender Agent (with a copy to the Collateral Custodian and the Collateral Agent) no later than 2:00 p.m. on the Business Day immediately prior to the date of such Advance: (A) a Notice of Borrowing, and (B) a Borrowing Base Certificate;</w:t>
      </w:r>
    </w:p>
    <w:p>
      <w:pPr>
        <w:spacing w:after="0" w:line="74" w:lineRule="exact"/>
        <w:rPr>
          <w:rFonts w:ascii="Arial" w:cs="Arial" w:eastAsia="Arial" w:hAnsi="Arial"/>
          <w:sz w:val="18"/>
          <w:szCs w:val="18"/>
          <w:color w:val="auto"/>
        </w:rPr>
      </w:pPr>
    </w:p>
    <w:p>
      <w:pPr>
        <w:ind w:left="440" w:firstLine="421"/>
        <w:spacing w:after="0" w:line="287" w:lineRule="auto"/>
        <w:tabs>
          <w:tab w:leader="none" w:pos="112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If the Advance is in connection with the Pledge of an Eligible Asset on or prior to such Advance Date (and subsequent to the immediately prior Advance Date), the Borrower shall have delivered to the Collateral Custodian (with a copy to the Administrative Agent), no later than 2:00 p.m. one Business Day prior to the related Advance Date, (A) a faxed or e-mailed copy of the duly executed original promissory notes of the Loan Assets (and, in the case of any Noteless Loan Asset, a fully executed assignment agreement) and if any Loan Assets are closed in escrow, a certificate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from the closing attorneys of such Loan Assets certifying the possession of the Required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Borrower shall cause the Loan Asset Checklist and the Required Loan Documents to be in the possession of the Collateral Custodian and the Backup Servicer within five Business Days of any related Advance Date as to any Loan Assets, (B) an updated Loan Asset Schedule, and (C) a Loan Assignment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Contribution Agreement (including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thereto) and containing such additional information as may be reasonably requested by the Administrative Agent;</w:t>
      </w:r>
    </w:p>
    <w:p>
      <w:pPr>
        <w:spacing w:after="0" w:line="62" w:lineRule="exact"/>
        <w:rPr>
          <w:rFonts w:ascii="Arial" w:cs="Arial" w:eastAsia="Arial" w:hAnsi="Arial"/>
          <w:sz w:val="16"/>
          <w:szCs w:val="16"/>
          <w:color w:val="auto"/>
        </w:rPr>
      </w:pPr>
    </w:p>
    <w:p>
      <w:pPr>
        <w:ind w:left="440" w:right="20" w:firstLine="421"/>
        <w:spacing w:after="0" w:line="258" w:lineRule="auto"/>
        <w:tabs>
          <w:tab w:leader="none" w:pos="117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contained in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4.03</w:t>
      </w:r>
      <w:r>
        <w:rPr>
          <w:rFonts w:ascii="Arial" w:cs="Arial" w:eastAsia="Arial" w:hAnsi="Arial"/>
          <w:sz w:val="18"/>
          <w:szCs w:val="18"/>
          <w:color w:val="auto"/>
        </w:rPr>
        <w:t xml:space="preserve"> are true and correct in all material respects, and there exists no breach of any covenant before and after giving effect to the Advance to take place on such Advance Date and to the application of proceeds therefrom, on and as of such day as though made on and as of such date (other than any representation and warranty that is made as of a specific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460" w:top="273" w:right="499" w:bottom="1440" w:gutter="0" w:footer="0" w:header="0"/>
        </w:sectPr>
      </w:pPr>
    </w:p>
    <w:bookmarkStart w:id="161" w:name="page162"/>
    <w:bookmarkEnd w:id="161"/>
    <w:p>
      <w:pPr>
        <w:ind w:left="440" w:right="320" w:firstLine="421"/>
        <w:spacing w:after="0" w:line="339" w:lineRule="auto"/>
        <w:tabs>
          <w:tab w:leader="none" w:pos="1164" w:val="left"/>
        </w:tabs>
        <w:numPr>
          <w:ilvl w:val="0"/>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on and as of such Advance Date, after giving effect to such Advance and the addition to the Collateral Portfolio of the Eligible Loan Assets being acquired by the Borrower using the proceeds of such Advance, the Advances Outstanding does not exceed the Borrowing Base;</w:t>
      </w:r>
    </w:p>
    <w:p>
      <w:pPr>
        <w:spacing w:after="0" w:line="17" w:lineRule="exact"/>
        <w:rPr>
          <w:rFonts w:ascii="Arial" w:cs="Arial" w:eastAsia="Arial" w:hAnsi="Arial"/>
          <w:sz w:val="16"/>
          <w:szCs w:val="16"/>
          <w:color w:val="auto"/>
        </w:rPr>
      </w:pPr>
    </w:p>
    <w:p>
      <w:pPr>
        <w:ind w:left="440" w:right="60" w:firstLine="421"/>
        <w:spacing w:after="0" w:line="275" w:lineRule="auto"/>
        <w:tabs>
          <w:tab w:leader="none" w:pos="11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has occurred and is continuing, or would result from such Advance or application of proceeds therefrom;</w:t>
      </w:r>
    </w:p>
    <w:p>
      <w:pPr>
        <w:spacing w:after="0" w:line="63" w:lineRule="exact"/>
        <w:rPr>
          <w:rFonts w:ascii="Arial" w:cs="Arial" w:eastAsia="Arial" w:hAnsi="Arial"/>
          <w:sz w:val="18"/>
          <w:szCs w:val="18"/>
          <w:color w:val="auto"/>
        </w:rPr>
      </w:pPr>
    </w:p>
    <w:p>
      <w:pPr>
        <w:ind w:left="1160" w:hanging="299"/>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Borrowing Base Deficiency or Foreign Currency Excess Exposure exists or would result from such Advance;</w:t>
      </w:r>
    </w:p>
    <w:p>
      <w:pPr>
        <w:spacing w:after="0" w:line="115" w:lineRule="exact"/>
        <w:rPr>
          <w:rFonts w:ascii="Arial" w:cs="Arial" w:eastAsia="Arial" w:hAnsi="Arial"/>
          <w:sz w:val="18"/>
          <w:szCs w:val="18"/>
          <w:color w:val="auto"/>
        </w:rPr>
      </w:pPr>
    </w:p>
    <w:p>
      <w:pPr>
        <w:ind w:left="440" w:right="300" w:firstLine="421"/>
        <w:spacing w:after="0" w:line="275" w:lineRule="auto"/>
        <w:tabs>
          <w:tab w:leader="none" w:pos="121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event has occurred and is continuing, or would result from such Advance, which constitutes a Servicer Termination Event or any event which, if it continues uncured, will, with notice or lapse of time, constitute a Servicer Termination Event;</w:t>
      </w:r>
    </w:p>
    <w:p>
      <w:pPr>
        <w:spacing w:after="0" w:line="63" w:lineRule="exact"/>
        <w:rPr>
          <w:rFonts w:ascii="Arial" w:cs="Arial" w:eastAsia="Arial" w:hAnsi="Arial"/>
          <w:sz w:val="18"/>
          <w:szCs w:val="18"/>
          <w:color w:val="auto"/>
        </w:rPr>
      </w:pPr>
    </w:p>
    <w:p>
      <w:pPr>
        <w:ind w:left="440" w:right="200" w:firstLine="421"/>
        <w:spacing w:after="0" w:line="275" w:lineRule="auto"/>
        <w:tabs>
          <w:tab w:leader="none" w:pos="12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since the Closing Date, no material adverse change has occurred in the ability of the Servicer, Transferor or the Borrower to perform its obligations under any Transaction Document;</w:t>
      </w:r>
    </w:p>
    <w:p>
      <w:pPr>
        <w:spacing w:after="0" w:line="63" w:lineRule="exact"/>
        <w:rPr>
          <w:rFonts w:ascii="Arial" w:cs="Arial" w:eastAsia="Arial" w:hAnsi="Arial"/>
          <w:sz w:val="18"/>
          <w:szCs w:val="18"/>
          <w:color w:val="auto"/>
        </w:rPr>
      </w:pPr>
    </w:p>
    <w:p>
      <w:pPr>
        <w:ind w:left="440" w:right="160" w:firstLine="421"/>
        <w:spacing w:after="0" w:line="275" w:lineRule="auto"/>
        <w:tabs>
          <w:tab w:leader="none" w:pos="116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Liens exist in respect of Taxes which are prior to the lien of the Collateral Agent on the Eligible Loan Assets to be Pledged on such Advance Date; and</w:t>
      </w:r>
    </w:p>
    <w:p>
      <w:pPr>
        <w:spacing w:after="0" w:line="63" w:lineRule="exact"/>
        <w:rPr>
          <w:rFonts w:ascii="Arial" w:cs="Arial" w:eastAsia="Arial" w:hAnsi="Arial"/>
          <w:sz w:val="18"/>
          <w:szCs w:val="18"/>
          <w:color w:val="auto"/>
        </w:rPr>
      </w:pPr>
    </w:p>
    <w:p>
      <w:pPr>
        <w:ind w:left="440" w:firstLine="421"/>
        <w:spacing w:after="0" w:line="272" w:lineRule="auto"/>
        <w:tabs>
          <w:tab w:leader="none" w:pos="111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all terms and conditions of the Contribution Agreement required to be satisfied in connection with the assignment of each Eligible Loan Asset being Pledged hereunder on such Advance Date (and the Portfolio Assets related thereto), including, without limitation, the perfection of the Borrower’s interests therein, shall have been satisfied in full, and all filings (including, without limitation, UCC filings) required to be made by any Person and all actions required to be taken or performed by any Person in any jurisdiction to give the Collateral Agent, for the benefit of the Secured Parties, a first priority perfected security interest (subject only to Permitted Liens) in such Eligible Loan Assets and the Portfolio Assets related thereto and the proceeds thereof shall have been made, taken or performed.</w:t>
      </w:r>
    </w:p>
    <w:p>
      <w:pPr>
        <w:spacing w:after="0" w:line="68" w:lineRule="exact"/>
        <w:rPr>
          <w:rFonts w:ascii="Arial" w:cs="Arial" w:eastAsia="Arial" w:hAnsi="Arial"/>
          <w:sz w:val="17"/>
          <w:szCs w:val="17"/>
          <w:color w:val="auto"/>
        </w:rPr>
      </w:pPr>
    </w:p>
    <w:p>
      <w:pPr>
        <w:jc w:val="both"/>
        <w:ind w:right="240" w:firstLine="989"/>
        <w:spacing w:after="0" w:line="262" w:lineRule="auto"/>
        <w:tabs>
          <w:tab w:leader="none" w:pos="1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On or prior to such applicable Advance Date, the Servicer shall have provided to the Administrative Agent (which may be provided electronically) the Loan Asset Schedule set forth on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with respect to each of the Eligible Loan Assets identified in the applicable Loan Asset Schedule for inclusion in the Collateral Portfolio on the applicable Advance Date.</w:t>
      </w:r>
    </w:p>
    <w:p>
      <w:pPr>
        <w:spacing w:after="0" w:line="74" w:lineRule="exact"/>
        <w:rPr>
          <w:rFonts w:ascii="Arial" w:cs="Arial" w:eastAsia="Arial" w:hAnsi="Arial"/>
          <w:sz w:val="18"/>
          <w:szCs w:val="18"/>
          <w:color w:val="auto"/>
        </w:rPr>
      </w:pPr>
    </w:p>
    <w:p>
      <w:pPr>
        <w:ind w:right="160" w:firstLine="989"/>
        <w:spacing w:after="0" w:line="262" w:lineRule="auto"/>
        <w:tabs>
          <w:tab w:leader="none" w:pos="123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Applicable Law shall prohibit, and no order, judgment or decree of any federal, State or local court or governmental body, agency or instrumentality shall prohibit or enjoin, the making of such Advances by any Lender or the proposed Pledge of Eligible Loan Assets in accordance with the provisions hereof.</w:t>
      </w:r>
    </w:p>
    <w:p>
      <w:pPr>
        <w:spacing w:after="0" w:line="74" w:lineRule="exact"/>
        <w:rPr>
          <w:rFonts w:ascii="Arial" w:cs="Arial" w:eastAsia="Arial" w:hAnsi="Arial"/>
          <w:sz w:val="18"/>
          <w:szCs w:val="18"/>
          <w:color w:val="auto"/>
        </w:rPr>
      </w:pPr>
    </w:p>
    <w:p>
      <w:pPr>
        <w:ind w:left="1240" w:hanging="251"/>
        <w:spacing w:after="0"/>
        <w:tabs>
          <w:tab w:leader="none" w:pos="1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Neither the Commitment Termination Date nor the Final Maturity Date shall have occurred.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60"/>
          </w:cols>
          <w:pgMar w:left="460" w:top="273" w:right="479" w:bottom="1440" w:gutter="0" w:footer="0" w:header="0"/>
        </w:sectPr>
      </w:pPr>
    </w:p>
    <w:bookmarkStart w:id="162" w:name="page163"/>
    <w:bookmarkEnd w:id="162"/>
    <w:p>
      <w:pPr>
        <w:ind w:right="460" w:firstLine="989"/>
        <w:spacing w:after="0" w:line="255" w:lineRule="auto"/>
        <w:tabs>
          <w:tab w:leader="none" w:pos="1230"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Borrower shall have paid all fees then required to be paid, including all fees required hereunder and under the applicable Fee Letters and shall have reimbursed the Lenders, the Administrative Agent, each Lender Agent, the Collateral Custodian, the Account Bank and the Collateral Agent for all fees, costs and expenses of closing the transactions contemplated hereunder and under the other Transaction Documents, including the reasonable attorney fees of outside counsel and any other legal and document preparation costs incurred by the Lenders, the Administrative Agent and each Lender Agent.</w:t>
      </w:r>
    </w:p>
    <w:p>
      <w:pPr>
        <w:spacing w:after="0" w:line="82" w:lineRule="exact"/>
        <w:rPr>
          <w:rFonts w:ascii="Arial" w:cs="Arial" w:eastAsia="Arial" w:hAnsi="Arial"/>
          <w:sz w:val="18"/>
          <w:szCs w:val="18"/>
          <w:color w:val="auto"/>
        </w:rPr>
      </w:pPr>
    </w:p>
    <w:p>
      <w:pPr>
        <w:ind w:right="100" w:firstLine="989"/>
        <w:spacing w:after="0" w:line="275" w:lineRule="auto"/>
        <w:tabs>
          <w:tab w:leader="none" w:pos="121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or prior to the Initial Advance, (i) the Minimum Credit Enhancement shall have been established, and (ii) the URCA Account shall have been funded in an amount at least equal to the Unfunded Revolving Commitments.</w:t>
      </w:r>
    </w:p>
    <w:p>
      <w:pPr>
        <w:spacing w:after="0" w:line="63" w:lineRule="exact"/>
        <w:rPr>
          <w:rFonts w:ascii="Arial" w:cs="Arial" w:eastAsia="Arial" w:hAnsi="Arial"/>
          <w:sz w:val="18"/>
          <w:szCs w:val="18"/>
          <w:color w:val="auto"/>
        </w:rPr>
      </w:pPr>
    </w:p>
    <w:p>
      <w:pPr>
        <w:ind w:right="400" w:firstLine="989"/>
        <w:spacing w:after="0" w:line="275"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the Ninth Amendment Effective Date, if the Borrower qualifies as a “legal entity customer” under the Beneficial Ownership Regulation, a Beneficial Ownership Certification in relation to the Borrower shall be provided to the Administrative Agent.</w:t>
      </w:r>
    </w:p>
    <w:p>
      <w:pPr>
        <w:spacing w:after="0" w:line="63" w:lineRule="exact"/>
        <w:rPr>
          <w:rFonts w:ascii="Arial" w:cs="Arial" w:eastAsia="Arial" w:hAnsi="Arial"/>
          <w:sz w:val="18"/>
          <w:szCs w:val="18"/>
          <w:color w:val="auto"/>
        </w:rPr>
      </w:pPr>
    </w:p>
    <w:p>
      <w:pPr>
        <w:ind w:right="80" w:firstLine="989"/>
        <w:spacing w:after="0" w:line="269" w:lineRule="auto"/>
        <w:tabs>
          <w:tab w:leader="none" w:pos="12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of the Ninth Amendment Effective Date, in connection with the acquisition of each Asset Based Loan and within the time periods set forth below, the Borrower or the Servicer (on behalf of the Borrower) shall have retained or shall have caused the Obligor to retain a Nationally Recognized Valuation Firm to calculate the Appraised Value of (A) with respect to any such Loan Asset that has intellectual property, equipment or real property, as the case may be, in its borrowing base, the collateral securing such Loan Asset within twelve (12) months prior to the acquisition of such Loan Asset and the inclusion of such Loan Asset in the Collateral Portfolio and (B) with respect to all other Asset Based Loans, the collateral securing such Loan Asset within six (6) months prior to the acquisition of such Loan Asset and the inclusion of such Loan Asset in the Collateral Portfolio. The Servicer shall report the Nationally Recognized Valuation Firm, appraisal metric and Appraised Value for such Loan Asset to the Administrative Agent (with a copy to each Lender) in the Notice of Borrowing related to such Loan Asset.</w:t>
      </w:r>
    </w:p>
    <w:p>
      <w:pPr>
        <w:spacing w:after="0" w:line="182" w:lineRule="exact"/>
        <w:rPr>
          <w:sz w:val="20"/>
          <w:szCs w:val="20"/>
          <w:color w:val="auto"/>
        </w:rPr>
      </w:pPr>
    </w:p>
    <w:p>
      <w:pPr>
        <w:ind w:right="160" w:firstLine="987"/>
        <w:spacing w:after="0" w:line="277" w:lineRule="auto"/>
        <w:rPr>
          <w:sz w:val="20"/>
          <w:szCs w:val="20"/>
          <w:color w:val="auto"/>
        </w:rPr>
      </w:pPr>
      <w:r>
        <w:rPr>
          <w:rFonts w:ascii="Arial" w:cs="Arial" w:eastAsia="Arial" w:hAnsi="Arial"/>
          <w:sz w:val="17"/>
          <w:szCs w:val="17"/>
          <w:color w:val="auto"/>
        </w:rPr>
        <w:t>The failure of the Borrower to satisfy any of the foregoing conditions precedent in respect of any Advance shall give rise to a right of the Administrative Agent and the applicable Lender Agent, which right may be exercised at any time on the demand of the applicable Lender Agent, to rescind the related Advance and direct the Borrower to pay to the applicable Lender Agent for the benefit of the applicable Lender an amount equal to the Advances made during any such time that any of the foregoing conditions precedent were not satisfied or waived in writing.</w:t>
      </w:r>
    </w:p>
    <w:p>
      <w:pPr>
        <w:spacing w:after="0" w:line="172" w:lineRule="exact"/>
        <w:rPr>
          <w:sz w:val="20"/>
          <w:szCs w:val="20"/>
          <w:color w:val="auto"/>
        </w:rPr>
      </w:pPr>
    </w:p>
    <w:p>
      <w:pPr>
        <w:ind w:right="620" w:firstLine="987"/>
        <w:spacing w:after="0" w:line="27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Advances Do Not Constitute a Waiver</w:t>
      </w:r>
      <w:r>
        <w:rPr>
          <w:rFonts w:ascii="Arial" w:cs="Arial" w:eastAsia="Arial" w:hAnsi="Arial"/>
          <w:sz w:val="18"/>
          <w:szCs w:val="18"/>
          <w:color w:val="auto"/>
        </w:rPr>
        <w:t>. No Advance made hereunder shall constitute a waiver of any condition to any Lender’s obligation to make such an advance unless such waiver is in writing and executed by such Lender.</w:t>
      </w:r>
    </w:p>
    <w:p>
      <w:pPr>
        <w:spacing w:after="0" w:line="171" w:lineRule="exact"/>
        <w:rPr>
          <w:sz w:val="20"/>
          <w:szCs w:val="20"/>
          <w:color w:val="auto"/>
        </w:rPr>
      </w:pPr>
    </w:p>
    <w:p>
      <w:pPr>
        <w:ind w:firstLine="987"/>
        <w:spacing w:after="0" w:line="284"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Conditions to Pledges of Loan Assets</w:t>
      </w:r>
      <w:r>
        <w:rPr>
          <w:rFonts w:ascii="Arial" w:cs="Arial" w:eastAsia="Arial" w:hAnsi="Arial"/>
          <w:sz w:val="17"/>
          <w:szCs w:val="17"/>
          <w:color w:val="auto"/>
        </w:rPr>
        <w:t xml:space="preserve">. Each Pledge of an additional Eligible Loan Asset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 Substitute Eligible Loan Asset pursuant to </w:t>
      </w:r>
      <w:r>
        <w:rPr>
          <w:rFonts w:ascii="Arial" w:cs="Arial" w:eastAsia="Arial" w:hAnsi="Arial"/>
          <w:sz w:val="17"/>
          <w:szCs w:val="17"/>
          <w:u w:val="single" w:color="auto"/>
          <w:color w:val="auto"/>
        </w:rPr>
        <w:t>Section 2.07(a)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 additional Eligible Loan Asset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or any other Pledge of a Loan Asset hereunder shall be subject to the further conditions precedent that (as certified to the Collateral Agent by the Borrower):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0"/>
          </w:cols>
          <w:pgMar w:left="460" w:top="273" w:right="479" w:bottom="1440" w:gutter="0" w:footer="0" w:header="0"/>
        </w:sectPr>
      </w:pPr>
    </w:p>
    <w:bookmarkStart w:id="163" w:name="page164"/>
    <w:bookmarkEnd w:id="163"/>
    <w:p>
      <w:pPr>
        <w:ind w:right="140" w:firstLine="989"/>
        <w:spacing w:after="0" w:line="277" w:lineRule="auto"/>
        <w:tabs>
          <w:tab w:leader="none" w:pos="1230" w:val="left"/>
        </w:tabs>
        <w:numPr>
          <w:ilvl w:val="0"/>
          <w:numId w:val="1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Servicer (on behalf of the Borrower) shall have delivered to the Administrative Agent and each Lender Agent (with a copy to the Collateral Custodian and the Collateral Agent) no later than 5:00 p.m. on the date that is one Business Day prior to the related Cut-Off Date: (A) a Borrowing Base Certificate, (B) a Loan Asset Schedule and (C) a Loan Assignment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Contribution Agreement (including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thereto) and containing such additional information as may be reasonably requested by the Administrative Agent;</w:t>
      </w:r>
    </w:p>
    <w:p>
      <w:pPr>
        <w:spacing w:after="0" w:line="65" w:lineRule="exact"/>
        <w:rPr>
          <w:rFonts w:ascii="Arial" w:cs="Arial" w:eastAsia="Arial" w:hAnsi="Arial"/>
          <w:sz w:val="17"/>
          <w:szCs w:val="17"/>
          <w:color w:val="auto"/>
        </w:rPr>
      </w:pPr>
    </w:p>
    <w:p>
      <w:pPr>
        <w:ind w:firstLine="989"/>
        <w:spacing w:after="0" w:line="292" w:lineRule="auto"/>
        <w:tabs>
          <w:tab w:leader="none" w:pos="12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Borrower shall have delivered to the Collateral Custodian (with a copy to the Administrative Agent and the Backup Servicer), no later than 2:00 p.m. one Business Day prior to the related Cut-Off Date, a faxed or e-mailed copy of the duly executed original promissory notes of the Loan Assets (and, in the case of any Noteless Loan Asset, a fully executed assignment agreement) and if any Loan Assets are closed in escrow, a certificate (in the form of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from the closing attorneys of such Loan Assets certifying the possession of the Required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the Borrower shall cause the Loan Asset Checklist and the Required Loan Documents to be in the possession of the Collateral Custodian and the Backup Servicer within five Business Days of any related Cut-Off Date as to any Loan Assets;</w:t>
      </w:r>
    </w:p>
    <w:p>
      <w:pPr>
        <w:spacing w:after="0" w:line="54" w:lineRule="exact"/>
        <w:rPr>
          <w:rFonts w:ascii="Arial" w:cs="Arial" w:eastAsia="Arial" w:hAnsi="Arial"/>
          <w:sz w:val="16"/>
          <w:szCs w:val="16"/>
          <w:color w:val="auto"/>
        </w:rPr>
      </w:pPr>
    </w:p>
    <w:p>
      <w:pPr>
        <w:ind w:left="1240" w:hanging="251"/>
        <w:spacing w:after="0"/>
        <w:tabs>
          <w:tab w:leader="none" w:pos="12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 Liens exist in respect of Taxes which are prior to the lien of the Collateral Agent on the Eligible Loan Assets to be Pledged on such</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Cut-Off Date;</w:t>
      </w:r>
    </w:p>
    <w:p>
      <w:pPr>
        <w:spacing w:after="0" w:line="100" w:lineRule="exact"/>
        <w:rPr>
          <w:rFonts w:ascii="Arial" w:cs="Arial" w:eastAsia="Arial" w:hAnsi="Arial"/>
          <w:sz w:val="16"/>
          <w:szCs w:val="16"/>
          <w:color w:val="auto"/>
        </w:rPr>
      </w:pPr>
    </w:p>
    <w:p>
      <w:pPr>
        <w:ind w:right="80" w:firstLine="989"/>
        <w:spacing w:after="0" w:line="272" w:lineRule="auto"/>
        <w:tabs>
          <w:tab w:leader="none" w:pos="12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terms and conditions of the Contribution Agreement required to be satisfied in connection with the assignment of each Eligible Loan Asset being Pledged hereunder on such Cut-Off Date (and the Portfolio Assets related thereto), including, without limitation, the perfection of the Borrower’s interests therein, shall have been satisfied in full, and all filings (including, without limitation, UCC filings) required to be made by any Person and all actions required to be taken or performed by any Person in any jurisdiction to give the Collateral Agent, for the benefit of the Secured Parties, a first priority perfected security interest (subject only to Permitted Liens) in such Eligible Loan Assets and the Portfolio Assets related thereto and the proceeds thereof shall have been made, taken or performed;</w:t>
      </w:r>
    </w:p>
    <w:p>
      <w:pPr>
        <w:spacing w:after="0" w:line="68" w:lineRule="exact"/>
        <w:rPr>
          <w:rFonts w:ascii="Arial" w:cs="Arial" w:eastAsia="Arial" w:hAnsi="Arial"/>
          <w:sz w:val="17"/>
          <w:szCs w:val="17"/>
          <w:color w:val="auto"/>
        </w:rPr>
      </w:pPr>
    </w:p>
    <w:p>
      <w:pPr>
        <w:ind w:right="80" w:firstLine="989"/>
        <w:spacing w:after="0" w:line="258" w:lineRule="auto"/>
        <w:tabs>
          <w:tab w:leader="none" w:pos="123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no Event of Default or Unmatured Event of Default exists, or would result from such Pledge (other than, with respect to any Pledge of an Eligible Loan Asset necessary to cure a Borrowing Base Deficiency or Foreign Currency Excess Exposure in accordance with </w:t>
      </w:r>
      <w:r>
        <w:rPr>
          <w:rFonts w:ascii="Arial" w:cs="Arial" w:eastAsia="Arial" w:hAnsi="Arial"/>
          <w:sz w:val="18"/>
          <w:szCs w:val="18"/>
          <w:u w:val="single" w:color="auto"/>
          <w:color w:val="auto"/>
        </w:rPr>
        <w:t>Section 2.06</w:t>
      </w:r>
      <w:r>
        <w:rPr>
          <w:rFonts w:ascii="Arial" w:cs="Arial" w:eastAsia="Arial" w:hAnsi="Arial"/>
          <w:sz w:val="18"/>
          <w:szCs w:val="18"/>
          <w:color w:val="auto"/>
        </w:rPr>
        <w:t>, an Unmatured Event of Default arising solely pursuant to such Borrowing Base Deficiency or Foreign Currency Excess Exposure and being cured as a result of such Pledge); and</w:t>
      </w:r>
    </w:p>
    <w:p>
      <w:pPr>
        <w:spacing w:after="0" w:line="77" w:lineRule="exact"/>
        <w:rPr>
          <w:rFonts w:ascii="Arial" w:cs="Arial" w:eastAsia="Arial" w:hAnsi="Arial"/>
          <w:sz w:val="18"/>
          <w:szCs w:val="18"/>
          <w:color w:val="auto"/>
        </w:rPr>
      </w:pPr>
    </w:p>
    <w:p>
      <w:pPr>
        <w:ind w:firstLine="989"/>
        <w:spacing w:after="0" w:line="310" w:lineRule="auto"/>
        <w:tabs>
          <w:tab w:leader="none" w:pos="121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in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are true and correct in all material respects, and there exists no breach of any covenant contained in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5.04</w:t>
      </w:r>
      <w:r>
        <w:rPr>
          <w:rFonts w:ascii="Arial" w:cs="Arial" w:eastAsia="Arial" w:hAnsi="Arial"/>
          <w:sz w:val="16"/>
          <w:szCs w:val="16"/>
          <w:color w:val="auto"/>
        </w:rPr>
        <w:t xml:space="preserve"> before and after giving effect to the Pledge to take place on such Cut-Off Date, on and as of such day as though made on and as of such date (other than any representation and warranty that is made as of a specific date).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40"/>
          </w:cols>
          <w:pgMar w:left="460" w:top="273" w:right="499" w:bottom="1440" w:gutter="0" w:footer="0" w:header="0"/>
        </w:sectPr>
      </w:pPr>
    </w:p>
    <w:bookmarkStart w:id="164" w:name="page165"/>
    <w:bookmarkEnd w:id="16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ARTICLE IV</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REPRESENTATIONS AND WARRANTIES</w:t>
      </w:r>
    </w:p>
    <w:p>
      <w:pPr>
        <w:spacing w:after="0" w:line="227"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hereby represents and warrants, as of the Closing Date, as of each applicable Cut-Off Date, as of each applicable Advance Date, as of each Reporting Date and as of each other date provided under this Agreement or the other Transaction Documents on which such representations and warranties are required to be (or deemed to be) made (unless a specific date is specified below):</w:t>
      </w:r>
    </w:p>
    <w:p>
      <w:pPr>
        <w:spacing w:after="0" w:line="77" w:lineRule="exact"/>
        <w:rPr>
          <w:sz w:val="20"/>
          <w:szCs w:val="20"/>
          <w:color w:val="auto"/>
        </w:rPr>
      </w:pPr>
    </w:p>
    <w:p>
      <w:pPr>
        <w:ind w:firstLine="989"/>
        <w:spacing w:after="0" w:line="288" w:lineRule="auto"/>
        <w:tabs>
          <w:tab w:leader="none" w:pos="1230"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Organization, Good Standing and Due Qualification</w:t>
      </w:r>
      <w:r>
        <w:rPr>
          <w:rFonts w:ascii="Arial" w:cs="Arial" w:eastAsia="Arial" w:hAnsi="Arial"/>
          <w:sz w:val="16"/>
          <w:szCs w:val="16"/>
          <w:color w:val="auto"/>
        </w:rPr>
        <w:t>. The Borrower is a limited liability company duly organized, validly existing and in good standing under the laws of the State of Delaware, with all requisite limited liability company power and authority necessary to own the Loan Assets and the Collateral Portfolio and to conduct its business as such business is presently conducted and to enter into and perform its obligations pursuant to this Agreement. The Borrower is duly qualified to do business as a limited liability company, and has obtained all licenses and approvals under the laws of the States of Delaware and New York, and in all other jurisdictions necessary to own its assets and to transact the business in which it is engaged, and is duly qualified, and in good standing under the laws of the States of Delaware and New York, and in each other jurisdiction where the transaction of such business or its ownership of the Loan Assets and the Collateral Portfolio and the conduct of its business requires such qualification where the failure to obtain such qualification, licenses or approvals could reasonably be expected to result in a Material Adverse Effect.</w:t>
      </w:r>
    </w:p>
    <w:p>
      <w:pPr>
        <w:spacing w:after="0" w:line="61" w:lineRule="exact"/>
        <w:rPr>
          <w:rFonts w:ascii="Arial" w:cs="Arial" w:eastAsia="Arial" w:hAnsi="Arial"/>
          <w:sz w:val="16"/>
          <w:szCs w:val="16"/>
          <w:color w:val="auto"/>
        </w:rPr>
      </w:pPr>
    </w:p>
    <w:p>
      <w:pPr>
        <w:ind w:left="1240" w:hanging="251"/>
        <w:spacing w:after="0"/>
        <w:tabs>
          <w:tab w:leader="none" w:pos="1240"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Power and Authority; Due Authorization; Execution and Delivery</w:t>
      </w:r>
      <w:r>
        <w:rPr>
          <w:rFonts w:ascii="Arial" w:cs="Arial" w:eastAsia="Arial" w:hAnsi="Arial"/>
          <w:sz w:val="17"/>
          <w:szCs w:val="17"/>
          <w:color w:val="auto"/>
        </w:rPr>
        <w:t>. The Borrower (i) has the power, authority and legal right to</w:t>
      </w:r>
    </w:p>
    <w:p>
      <w:pPr>
        <w:spacing w:after="0" w:line="34" w:lineRule="exact"/>
        <w:rPr>
          <w:rFonts w:ascii="Arial" w:cs="Arial" w:eastAsia="Arial" w:hAnsi="Arial"/>
          <w:sz w:val="17"/>
          <w:szCs w:val="17"/>
          <w:color w:val="auto"/>
        </w:rPr>
      </w:pPr>
    </w:p>
    <w:p>
      <w:pPr>
        <w:ind w:firstLine="2"/>
        <w:spacing w:after="0" w:line="280" w:lineRule="auto"/>
        <w:tabs>
          <w:tab w:leader="none" w:pos="25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execute and deliver this Agreement and the other Transaction Documents to which it is a party and (y) perform and carry out the terms of this Agreement and the other Transaction Documents to which it is a party and the transactions contemplated thereby, and (ii) has taken all necessary action to (x) authorize the execution, delivery and performance of this Agreement and each of the other Transaction Documents to which it is a party and</w:t>
      </w:r>
    </w:p>
    <w:p>
      <w:pPr>
        <w:spacing w:after="0" w:line="1" w:lineRule="exact"/>
        <w:rPr>
          <w:rFonts w:ascii="Arial" w:cs="Arial" w:eastAsia="Arial" w:hAnsi="Arial"/>
          <w:sz w:val="16"/>
          <w:szCs w:val="16"/>
          <w:color w:val="auto"/>
        </w:rPr>
      </w:pPr>
    </w:p>
    <w:p>
      <w:pPr>
        <w:ind w:right="60" w:firstLine="2"/>
        <w:spacing w:after="0" w:line="253" w:lineRule="auto"/>
        <w:tabs>
          <w:tab w:leader="none" w:pos="25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grant to the Collateral Agent, for the benefit of the Secured Parties, a first priority perfected security interest in the Collateral Portfolio on the terms and conditions of this Agreement, subject only to Permitted Liens. This Agreement and each other Transaction Document to which the Borrower is a party have been duly executed and delivered by the Borrower.</w:t>
      </w:r>
    </w:p>
    <w:p>
      <w:pPr>
        <w:spacing w:after="0" w:line="83" w:lineRule="exact"/>
        <w:rPr>
          <w:rFonts w:ascii="Arial" w:cs="Arial" w:eastAsia="Arial" w:hAnsi="Arial"/>
          <w:sz w:val="18"/>
          <w:szCs w:val="18"/>
          <w:color w:val="auto"/>
        </w:rPr>
      </w:pPr>
    </w:p>
    <w:p>
      <w:pPr>
        <w:ind w:right="260" w:firstLine="989"/>
        <w:spacing w:after="0" w:line="284" w:lineRule="auto"/>
        <w:tabs>
          <w:tab w:leader="none" w:pos="1230"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Binding Obligation</w:t>
      </w:r>
      <w:r>
        <w:rPr>
          <w:rFonts w:ascii="Arial" w:cs="Arial" w:eastAsia="Arial" w:hAnsi="Arial"/>
          <w:sz w:val="17"/>
          <w:szCs w:val="17"/>
          <w:color w:val="auto"/>
        </w:rPr>
        <w:t>. This Agreement and each of the other Transaction Documents to which the Borrower is a party constitutes the legal, valid and binding obligation of the Borrower, enforceable against the Borrower in accordance with their respective terms, except as the enforceability hereof and thereof may be limited by Bankruptcy Laws and by general principles of equity.</w:t>
      </w:r>
    </w:p>
    <w:p>
      <w:pPr>
        <w:spacing w:after="0" w:line="58" w:lineRule="exact"/>
        <w:rPr>
          <w:rFonts w:ascii="Arial" w:cs="Arial" w:eastAsia="Arial" w:hAnsi="Arial"/>
          <w:sz w:val="17"/>
          <w:szCs w:val="17"/>
          <w:color w:val="auto"/>
        </w:rPr>
      </w:pPr>
    </w:p>
    <w:p>
      <w:pPr>
        <w:ind w:firstLine="989"/>
        <w:spacing w:after="0" w:line="255" w:lineRule="auto"/>
        <w:tabs>
          <w:tab w:leader="none" w:pos="124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All Consents Required</w:t>
      </w:r>
      <w:r>
        <w:rPr>
          <w:rFonts w:ascii="Arial" w:cs="Arial" w:eastAsia="Arial" w:hAnsi="Arial"/>
          <w:sz w:val="18"/>
          <w:szCs w:val="18"/>
          <w:color w:val="auto"/>
        </w:rPr>
        <w:t>. No consent of any other party and no consent, license, approval or authorization of, or registration or declaration with, any Governmental Authority, bureau or agency is required in connection with the execution, delivery or performance by the Borrower of this Agreement or any Transaction Document to which it is a party or the validity or enforceability of this Agreement or any such Transaction Document or the Loan Assets or the transfer of an ownership interest or security interest in such Loan Assets, other than such as have been met or obtained and are in full force and effect.</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860"/>
          </w:cols>
          <w:pgMar w:left="460" w:top="269" w:right="579" w:bottom="1440" w:gutter="0" w:footer="0" w:header="0"/>
        </w:sectPr>
      </w:pPr>
    </w:p>
    <w:bookmarkStart w:id="165" w:name="page166"/>
    <w:bookmarkEnd w:id="165"/>
    <w:p>
      <w:pPr>
        <w:ind w:left="-20" w:right="120" w:firstLine="989"/>
        <w:spacing w:after="0" w:line="254" w:lineRule="auto"/>
        <w:tabs>
          <w:tab w:leader="none" w:pos="121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 Violation</w:t>
      </w:r>
      <w:r>
        <w:rPr>
          <w:rFonts w:ascii="Arial" w:cs="Arial" w:eastAsia="Arial" w:hAnsi="Arial"/>
          <w:sz w:val="18"/>
          <w:szCs w:val="18"/>
          <w:color w:val="auto"/>
        </w:rPr>
        <w:t>. The execution, delivery and performance of this Agreement and all other agreements and instruments executed and delivered or to be executed and delivered pursuant hereto or thereto in connection with the Pledge of the Collateral Portfolio will not (i) conflict with, result in any breach of any of the terms and provisions of, or constitute (with or without notice or lapse of time or both) a default under, the Borrower’s certificate of formation or limited liability company agreement (ii) result in the creation or imposition of any Lien on the Collateral Portfolio other than Permitted Liens or (iii) violate any Applicable Law or (iv) violate any contract or other agreement to which the Borrower is a party or by which the Borrower or any property or assets of the Borrower may be bound.</w:t>
      </w:r>
    </w:p>
    <w:p>
      <w:pPr>
        <w:spacing w:after="0" w:line="83" w:lineRule="exact"/>
        <w:rPr>
          <w:rFonts w:ascii="Arial" w:cs="Arial" w:eastAsia="Arial" w:hAnsi="Arial"/>
          <w:sz w:val="18"/>
          <w:szCs w:val="18"/>
          <w:color w:val="auto"/>
        </w:rPr>
      </w:pPr>
    </w:p>
    <w:p>
      <w:pPr>
        <w:ind w:left="-20" w:firstLine="989"/>
        <w:spacing w:after="0" w:line="255" w:lineRule="auto"/>
        <w:tabs>
          <w:tab w:leader="none" w:pos="119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is no litigation, proceeding or investigation pending or, to the knowledge of the Borrower, threatened against the Borrower or any properties of the Borrower, before any Governmental Authority (i) asserting the invalidity of this Agreement or any other Transaction Document to which the Borrower is a party, (ii) seeking to prevent the consummation of any of the transactions contemplated by this Agreement or any other Transaction Document to which the Borrower is a party or (iii) seeking any determination or ruling that could reasonably be expected to have a Material Adverse Effect.</w:t>
      </w:r>
    </w:p>
    <w:p>
      <w:pPr>
        <w:spacing w:after="0" w:line="82" w:lineRule="exact"/>
        <w:rPr>
          <w:rFonts w:ascii="Arial" w:cs="Arial" w:eastAsia="Arial" w:hAnsi="Arial"/>
          <w:sz w:val="18"/>
          <w:szCs w:val="18"/>
          <w:color w:val="auto"/>
        </w:rPr>
      </w:pPr>
    </w:p>
    <w:p>
      <w:pPr>
        <w:ind w:left="-20" w:right="200" w:firstLine="989"/>
        <w:spacing w:after="0" w:line="339" w:lineRule="auto"/>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Selection Procedures</w:t>
      </w:r>
      <w:r>
        <w:rPr>
          <w:rFonts w:ascii="Arial" w:cs="Arial" w:eastAsia="Arial" w:hAnsi="Arial"/>
          <w:sz w:val="16"/>
          <w:szCs w:val="16"/>
          <w:color w:val="auto"/>
        </w:rPr>
        <w:t>. In selecting the Loan Assets to be Pledged pursuant to this Agreement, no selection procedures have been employed by the Borrower or any Affiliate of the Borrower (including the Transferor) which are intended to be adverse to the interests of the Lenders.</w:t>
      </w:r>
    </w:p>
    <w:p>
      <w:pPr>
        <w:spacing w:after="0" w:line="17" w:lineRule="exact"/>
        <w:rPr>
          <w:rFonts w:ascii="Arial" w:cs="Arial" w:eastAsia="Arial" w:hAnsi="Arial"/>
          <w:sz w:val="16"/>
          <w:szCs w:val="16"/>
          <w:color w:val="auto"/>
        </w:rPr>
      </w:pPr>
    </w:p>
    <w:p>
      <w:pPr>
        <w:ind w:left="-20" w:right="20" w:firstLine="989"/>
        <w:spacing w:after="0" w:line="284" w:lineRule="auto"/>
        <w:tabs>
          <w:tab w:leader="none" w:pos="1220"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Bulk Sales</w:t>
      </w:r>
      <w:r>
        <w:rPr>
          <w:rFonts w:ascii="Arial" w:cs="Arial" w:eastAsia="Arial" w:hAnsi="Arial"/>
          <w:sz w:val="17"/>
          <w:szCs w:val="17"/>
          <w:color w:val="auto"/>
        </w:rPr>
        <w:t>. The grant of the security interest in the Collateral Portfolio by the Borrower to the Collateral Agent, for the benefit of the Secured Parties, pursuant to this Agreement, and the execution, delivery and performance of this Agreement, is in the ordinary course of business for the Borrower and is not subject to the bulk transfer or any similar statutory provisions in effect in any applicable jurisdiction.</w:t>
      </w:r>
    </w:p>
    <w:p>
      <w:pPr>
        <w:spacing w:after="0" w:line="58" w:lineRule="exact"/>
        <w:rPr>
          <w:rFonts w:ascii="Arial" w:cs="Arial" w:eastAsia="Arial" w:hAnsi="Arial"/>
          <w:sz w:val="17"/>
          <w:szCs w:val="17"/>
          <w:color w:val="auto"/>
        </w:rPr>
      </w:pPr>
    </w:p>
    <w:p>
      <w:pPr>
        <w:ind w:left="-20" w:right="80" w:firstLine="989"/>
        <w:spacing w:after="0" w:line="258" w:lineRule="auto"/>
        <w:tabs>
          <w:tab w:leader="none" w:pos="1181"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No Liens</w:t>
      </w:r>
      <w:r>
        <w:rPr>
          <w:rFonts w:ascii="Arial" w:cs="Arial" w:eastAsia="Arial" w:hAnsi="Arial"/>
          <w:sz w:val="18"/>
          <w:szCs w:val="18"/>
          <w:color w:val="auto"/>
        </w:rPr>
        <w:t>. The Collateral Portfolio is owned by the Borrower free and clear of any Liens except for Permitted Liens as provided herein. No effective financing statement or other instrument similar in effect covering any Collateral Portfolio is on file in any recording office except such as may be filed in favor of the Trustee, for the benefit of the Secured Parties, relating to this Agreement or reflecting the transfer of the Collateral Portfolio from the Transferor to the Borrower.</w:t>
      </w:r>
    </w:p>
    <w:p>
      <w:pPr>
        <w:spacing w:after="0" w:line="77" w:lineRule="exact"/>
        <w:rPr>
          <w:rFonts w:ascii="Arial" w:cs="Arial" w:eastAsia="Arial" w:hAnsi="Arial"/>
          <w:sz w:val="18"/>
          <w:szCs w:val="18"/>
          <w:color w:val="auto"/>
        </w:rPr>
      </w:pPr>
    </w:p>
    <w:p>
      <w:pPr>
        <w:ind w:left="-20" w:right="20" w:firstLine="989"/>
        <w:spacing w:after="0" w:line="284" w:lineRule="auto"/>
        <w:tabs>
          <w:tab w:leader="none" w:pos="1181"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Pledge of Collateral Portfolio</w:t>
      </w:r>
      <w:r>
        <w:rPr>
          <w:rFonts w:ascii="Arial" w:cs="Arial" w:eastAsia="Arial" w:hAnsi="Arial"/>
          <w:sz w:val="17"/>
          <w:szCs w:val="17"/>
          <w:color w:val="auto"/>
        </w:rPr>
        <w:t xml:space="preserve">. Except as otherwise expressly permitted by the terms of this Agreement, no item of Collateral Portfolio has been sold, transferred, assigned or pledged by the Borrower to any Person, other than as contemplated by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the Pledge of such Collateral Portfolio to the Collateral Agent, for the benefit of the Secured Parties, pursuant to the terms of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40"/>
          </w:cols>
          <w:pgMar w:left="480" w:top="273" w:right="479" w:bottom="1440" w:gutter="0" w:footer="0" w:header="0"/>
        </w:sectPr>
      </w:pPr>
    </w:p>
    <w:bookmarkStart w:id="166" w:name="page167"/>
    <w:bookmarkEnd w:id="166"/>
    <w:p>
      <w:pPr>
        <w:ind w:right="40" w:firstLine="989"/>
        <w:spacing w:after="0" w:line="254" w:lineRule="auto"/>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Indebtedness</w:t>
      </w:r>
      <w:r>
        <w:rPr>
          <w:rFonts w:ascii="Arial" w:cs="Arial" w:eastAsia="Arial" w:hAnsi="Arial"/>
          <w:sz w:val="18"/>
          <w:szCs w:val="18"/>
          <w:color w:val="auto"/>
        </w:rPr>
        <w:t>. The Borrower has no Indebtedness or other indebtedness, secured or unsecured, direct or contingent (including guaranteeing any obligation), other than Indebtedness incurred under the terms of the Transaction Documents or ordinary course business expenses incurred in the ordinary course of business pursuant to the transactions contemplated hereunder and under the other Transaction Documents. Each remittance hereunder by the Borrower with respect to the Obligations to the Secured Parties under or in connection with this Agreement (i) is a payment of a debt or obligation incurred by such Borrower in the ordinary course of business or financial affairs of the Borrower, and (ii) is made in the ordinary course of business or financial affairs of the Borrower.</w:t>
      </w:r>
    </w:p>
    <w:p>
      <w:pPr>
        <w:spacing w:after="0" w:line="83" w:lineRule="exact"/>
        <w:rPr>
          <w:rFonts w:ascii="Arial" w:cs="Arial" w:eastAsia="Arial" w:hAnsi="Arial"/>
          <w:sz w:val="18"/>
          <w:szCs w:val="18"/>
          <w:color w:val="auto"/>
        </w:rPr>
      </w:pPr>
    </w:p>
    <w:p>
      <w:pPr>
        <w:ind w:right="20" w:firstLine="989"/>
        <w:spacing w:after="0" w:line="277" w:lineRule="auto"/>
        <w:tabs>
          <w:tab w:leader="none" w:pos="1201"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Sole Purpose</w:t>
      </w:r>
      <w:r>
        <w:rPr>
          <w:rFonts w:ascii="Arial" w:cs="Arial" w:eastAsia="Arial" w:hAnsi="Arial"/>
          <w:sz w:val="17"/>
          <w:szCs w:val="17"/>
          <w:color w:val="auto"/>
        </w:rPr>
        <w:t>. The Borrower has been formed solely for the purpose of engaging in transactions contemplated by this Agreement, and has not engaged in any business activity other than the negotiation, execution and to the extent applicable, performance of this Agreement and the transactions contemplated by the Transaction Documents. The Borrower is not party to any agreements other than the applicable Transaction Documents to which it is a party and the Required Loan Documents in respect of which the Borrower is a lender.</w:t>
      </w:r>
    </w:p>
    <w:p>
      <w:pPr>
        <w:spacing w:after="0" w:line="65" w:lineRule="exact"/>
        <w:rPr>
          <w:rFonts w:ascii="Arial" w:cs="Arial" w:eastAsia="Arial" w:hAnsi="Arial"/>
          <w:sz w:val="17"/>
          <w:szCs w:val="17"/>
          <w:color w:val="auto"/>
        </w:rPr>
      </w:pPr>
    </w:p>
    <w:p>
      <w:pPr>
        <w:ind w:right="320" w:firstLine="989"/>
        <w:spacing w:after="0" w:line="258" w:lineRule="auto"/>
        <w:tabs>
          <w:tab w:leader="none" w:pos="129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Separate Entity</w:t>
      </w:r>
      <w:r>
        <w:rPr>
          <w:rFonts w:ascii="Arial" w:cs="Arial" w:eastAsia="Arial" w:hAnsi="Arial"/>
          <w:sz w:val="18"/>
          <w:szCs w:val="18"/>
          <w:color w:val="auto"/>
        </w:rPr>
        <w:t>. The Borrower is operated as an entity with assets and liabilities distinct from those of the Transferor and Solar Management, and any Affiliates thereof, and the Borrower hereby acknowledges that the Administrative Agent and the Lenders are entering into the transactions contemplated by this Agreement in reliance upon the Borrower’s identity as a separate legal entity from the Transferor and Solar Management, and from each such other Affiliate of the Transferor and Solar Management.</w:t>
      </w:r>
    </w:p>
    <w:p>
      <w:pPr>
        <w:spacing w:after="0" w:line="77" w:lineRule="exact"/>
        <w:rPr>
          <w:rFonts w:ascii="Arial" w:cs="Arial" w:eastAsia="Arial" w:hAnsi="Arial"/>
          <w:sz w:val="18"/>
          <w:szCs w:val="18"/>
          <w:color w:val="auto"/>
        </w:rPr>
      </w:pPr>
    </w:p>
    <w:p>
      <w:pPr>
        <w:ind w:right="160" w:firstLine="989"/>
        <w:spacing w:after="0" w:line="275" w:lineRule="auto"/>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Injunctions</w:t>
      </w:r>
      <w:r>
        <w:rPr>
          <w:rFonts w:ascii="Arial" w:cs="Arial" w:eastAsia="Arial" w:hAnsi="Arial"/>
          <w:sz w:val="18"/>
          <w:szCs w:val="18"/>
          <w:color w:val="auto"/>
        </w:rPr>
        <w:t>. No injunction, writ, restraining order or other order of any nature adversely affects the Borrower’s performance of its obligations under this Agreement or any Transaction Document to which the Borrower is a party.</w:t>
      </w:r>
    </w:p>
    <w:p>
      <w:pPr>
        <w:spacing w:after="0" w:line="63" w:lineRule="exact"/>
        <w:rPr>
          <w:rFonts w:ascii="Arial" w:cs="Arial" w:eastAsia="Arial" w:hAnsi="Arial"/>
          <w:sz w:val="18"/>
          <w:szCs w:val="18"/>
          <w:color w:val="auto"/>
        </w:rPr>
      </w:pPr>
    </w:p>
    <w:p>
      <w:pPr>
        <w:ind w:firstLine="989"/>
        <w:spacing w:after="0" w:line="288" w:lineRule="auto"/>
        <w:tabs>
          <w:tab w:leader="none" w:pos="1240"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Borrower has filed or caused to be filed (on a consolidated basis or otherwise) on a timely basis all material tax returns (including, without limitation, all foreign, federal, state, local and other tax returns) required to be filed by it (subject to any extensions to file properly obtained by the same) and is not liable for Taxes payable by any other Person. The Borrower has paid or made adequate provisions for the payment of all material Taxes, assessments and other governmental charges made against it or any of its property except for those Taxes being contested in good faith by appropriate proceedings and in respect of which it has established proper reserves in accordance with GAAP on its books. No Tax lien or similar adverse claim has been filed, and no claim is being asserted, with respect to any such Tax, assessment or other governmental charge. Any Taxes, fees and other governmental charges due and payable by the Borrower, as applicable, in connection with the execution and delivery of this Agreement and the other Transaction Documents and the transactions contemplated hereby or thereby have been paid or shall have been paid if and when due.</w:t>
      </w:r>
    </w:p>
    <w:p>
      <w:pPr>
        <w:spacing w:after="0" w:line="61" w:lineRule="exact"/>
        <w:rPr>
          <w:rFonts w:ascii="Arial" w:cs="Arial" w:eastAsia="Arial" w:hAnsi="Arial"/>
          <w:sz w:val="16"/>
          <w:szCs w:val="16"/>
          <w:color w:val="auto"/>
        </w:rPr>
      </w:pPr>
    </w:p>
    <w:p>
      <w:pPr>
        <w:ind w:right="280" w:firstLine="989"/>
        <w:spacing w:after="0" w:line="258" w:lineRule="auto"/>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The Borrower’s location (within the meaning of Article 9 of the UCC) is Delaware. The chief executive office of the Borrower (and the location of the Borrower’s records regarding the Collateral Portfolio (other than those delivered to the Collateral Custodian)) is located at the address set forth under its name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(or at such other address as shall be designated by such party in a written notice to the other parties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60"/>
          </w:cols>
          <w:pgMar w:left="460" w:top="273" w:right="479" w:bottom="1440" w:gutter="0" w:footer="0" w:header="0"/>
        </w:sectPr>
      </w:pPr>
    </w:p>
    <w:bookmarkStart w:id="167" w:name="page168"/>
    <w:bookmarkEnd w:id="167"/>
    <w:p>
      <w:pPr>
        <w:ind w:left="-40" w:right="40" w:firstLine="989"/>
        <w:spacing w:after="0" w:line="255" w:lineRule="auto"/>
        <w:tabs>
          <w:tab w:leader="none" w:pos="12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Tradenames</w:t>
      </w:r>
      <w:r>
        <w:rPr>
          <w:rFonts w:ascii="Arial" w:cs="Arial" w:eastAsia="Arial" w:hAnsi="Arial"/>
          <w:sz w:val="18"/>
          <w:szCs w:val="18"/>
          <w:color w:val="auto"/>
        </w:rPr>
        <w:t xml:space="preserve">. Except as permitted hereunder, the Borrower’s legal name is as set forth in this Agreement. Except as permitted hereunder, the Borrower has not changed its name since its formation; does not have tradenames, fictitious names, assumed names or “doing business as” names other than as disclosed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(as such schedule may be updated from time to time by the Administrative Agent upon receipt of a notice delivered to the Administrative Agent pursuant to </w:t>
      </w:r>
      <w:r>
        <w:rPr>
          <w:rFonts w:ascii="Arial" w:cs="Arial" w:eastAsia="Arial" w:hAnsi="Arial"/>
          <w:sz w:val="18"/>
          <w:szCs w:val="18"/>
          <w:u w:val="single" w:color="auto"/>
          <w:color w:val="auto"/>
        </w:rPr>
        <w:t>Section 5.02(q)</w:t>
      </w:r>
      <w:r>
        <w:rPr>
          <w:rFonts w:ascii="Arial" w:cs="Arial" w:eastAsia="Arial" w:hAnsi="Arial"/>
          <w:sz w:val="18"/>
          <w:szCs w:val="18"/>
          <w:color w:val="auto"/>
        </w:rPr>
        <w:t>); the Borrower’s only jurisdiction of formation is Delaware, and, except as permitted hereunder, the Borrower has not changed its jurisdiction of formation.</w:t>
      </w:r>
    </w:p>
    <w:p>
      <w:pPr>
        <w:spacing w:after="0" w:line="82" w:lineRule="exact"/>
        <w:rPr>
          <w:rFonts w:ascii="Arial" w:cs="Arial" w:eastAsia="Arial" w:hAnsi="Arial"/>
          <w:sz w:val="18"/>
          <w:szCs w:val="18"/>
          <w:color w:val="auto"/>
        </w:rPr>
      </w:pPr>
    </w:p>
    <w:p>
      <w:pPr>
        <w:ind w:left="-40" w:right="160" w:firstLine="989"/>
        <w:spacing w:after="0" w:line="258" w:lineRule="auto"/>
        <w:tabs>
          <w:tab w:leader="none" w:pos="117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The Borrower is not the subject of any Bankruptcy Proceedings or Bankruptcy Event. The Borrower is Solvent, and the transactions under this Agreement and any other Transaction Document to which the Borrower is a party do not and will not render the Borrower not Solvent. The Borrower is paying its debts as they become due; and the Borrower, after giving effect to the transactions contemplated hereby, will have adequate capital to conduct its business.</w:t>
      </w:r>
    </w:p>
    <w:p>
      <w:pPr>
        <w:spacing w:after="0" w:line="77" w:lineRule="exact"/>
        <w:rPr>
          <w:rFonts w:ascii="Arial" w:cs="Arial" w:eastAsia="Arial" w:hAnsi="Arial"/>
          <w:sz w:val="18"/>
          <w:szCs w:val="18"/>
          <w:color w:val="auto"/>
        </w:rPr>
      </w:pPr>
    </w:p>
    <w:p>
      <w:pPr>
        <w:ind w:left="1180" w:hanging="231"/>
        <w:spacing w:after="0"/>
        <w:tabs>
          <w:tab w:leader="none" w:pos="11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 Subsidiaries</w:t>
      </w:r>
      <w:r>
        <w:rPr>
          <w:rFonts w:ascii="Arial" w:cs="Arial" w:eastAsia="Arial" w:hAnsi="Arial"/>
          <w:sz w:val="18"/>
          <w:szCs w:val="18"/>
          <w:color w:val="auto"/>
        </w:rPr>
        <w:t>. The Borrower has no Subsidiaries.</w:t>
      </w:r>
    </w:p>
    <w:p>
      <w:pPr>
        <w:spacing w:after="0" w:line="115" w:lineRule="exact"/>
        <w:rPr>
          <w:rFonts w:ascii="Arial" w:cs="Arial" w:eastAsia="Arial" w:hAnsi="Arial"/>
          <w:sz w:val="18"/>
          <w:szCs w:val="18"/>
          <w:color w:val="auto"/>
        </w:rPr>
      </w:pPr>
    </w:p>
    <w:p>
      <w:pPr>
        <w:jc w:val="both"/>
        <w:ind w:left="-40" w:right="20" w:firstLine="989"/>
        <w:spacing w:after="0" w:line="258" w:lineRule="auto"/>
        <w:tabs>
          <w:tab w:leader="none" w:pos="1161"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Value Given</w:t>
      </w:r>
      <w:r>
        <w:rPr>
          <w:rFonts w:ascii="Arial" w:cs="Arial" w:eastAsia="Arial" w:hAnsi="Arial"/>
          <w:sz w:val="18"/>
          <w:szCs w:val="18"/>
          <w:color w:val="auto"/>
        </w:rPr>
        <w:t>. The Borrower has given fair consideration and reasonably equivalent value to the Transferor in exchange for the purchase of each of the Loan Assets (or any number of them) from the Transferor pursuant to the Contribution Agreement. No such transfer has been made for or on account of an antecedent debt owed by the Borrower to the Transferor and no such transfer is or may be voidable or subject to avoidance under any section of the Bankruptcy Code.</w:t>
      </w:r>
    </w:p>
    <w:p>
      <w:pPr>
        <w:spacing w:after="0" w:line="77" w:lineRule="exact"/>
        <w:rPr>
          <w:rFonts w:ascii="Arial" w:cs="Arial" w:eastAsia="Arial" w:hAnsi="Arial"/>
          <w:sz w:val="18"/>
          <w:szCs w:val="18"/>
          <w:color w:val="auto"/>
        </w:rPr>
      </w:pPr>
    </w:p>
    <w:p>
      <w:pPr>
        <w:ind w:left="-40" w:firstLine="989"/>
        <w:spacing w:after="0" w:line="288"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Reports Accurate</w:t>
      </w:r>
      <w:r>
        <w:rPr>
          <w:rFonts w:ascii="Arial" w:cs="Arial" w:eastAsia="Arial" w:hAnsi="Arial"/>
          <w:sz w:val="16"/>
          <w:szCs w:val="16"/>
          <w:color w:val="auto"/>
        </w:rPr>
        <w:t xml:space="preserve">. All information relating to the Borrower and prepared or supplied by the Borrower or the Servicer and contained in the Servicer’s Certificates or Servicing Reports, Notices of Borrowing, Borrowing Base Certificates and other written or electronic information, exhibits, financial statements, documents, books, records or reports furnished by the Borrower to the Administrative Agent, the Collateral Agent or the Collateral Custodian in connection with this Agreement are, as of their date, accurate, true and correct, and no such document or certificate contains any material misstatement of fact or omits to state a material fact or any fact necessary to make the statements contained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written or electronic information furnished by the Borrower which was provided to the Borrower from an Obligor with respect to a Loan Asset, such information need only be accurate, true and correct to the knowledge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foregoing proviso shall not apply to any information presented in a Servicer’s Certificate, Servicing Report, Notice of Borrowing or Borrowing Base Certificate.</w:t>
      </w:r>
    </w:p>
    <w:p>
      <w:pPr>
        <w:spacing w:after="0" w:line="61" w:lineRule="exact"/>
        <w:rPr>
          <w:rFonts w:ascii="Arial" w:cs="Arial" w:eastAsia="Arial" w:hAnsi="Arial"/>
          <w:sz w:val="16"/>
          <w:szCs w:val="16"/>
          <w:color w:val="auto"/>
        </w:rPr>
      </w:pPr>
    </w:p>
    <w:p>
      <w:pPr>
        <w:ind w:left="-40" w:right="80" w:firstLine="989"/>
        <w:spacing w:after="0" w:line="295"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Exchange Act Compliance; Regulations T, U and X</w:t>
      </w:r>
      <w:r>
        <w:rPr>
          <w:rFonts w:ascii="Arial" w:cs="Arial" w:eastAsia="Arial" w:hAnsi="Arial"/>
          <w:sz w:val="16"/>
          <w:szCs w:val="16"/>
          <w:color w:val="auto"/>
        </w:rPr>
        <w:t>. None of the transactions contemplated herein or in the other Transaction Documents (including, without limitation, the use of Proceeds from the sale of the Collateral Portfolio) will violate or result in a violation of Section 7 of the Exchange Act, or any regulations issued pursuant thereto, including, without limitation, Regulations T, U and X of the Board of Governors of the Federal Reserve System, 12 C.F.R., Chapter II. The Borrower does not own or intend to carry or purchase, and no proceeds from the Advances will be used to carry or purchase, any “margin stock” within the meaning of Regulation U or to extend “purpose credit” within the meaning of Regulation U.</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00"/>
          </w:cols>
          <w:pgMar w:left="500" w:top="273" w:right="499" w:bottom="1440" w:gutter="0" w:footer="0" w:header="0"/>
        </w:sectPr>
      </w:pPr>
    </w:p>
    <w:bookmarkStart w:id="168" w:name="page169"/>
    <w:bookmarkEnd w:id="168"/>
    <w:p>
      <w:pPr>
        <w:ind w:left="-20" w:right="420" w:firstLine="989"/>
        <w:spacing w:after="0" w:line="275" w:lineRule="auto"/>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 Adverse Agreements</w:t>
      </w:r>
      <w:r>
        <w:rPr>
          <w:rFonts w:ascii="Arial" w:cs="Arial" w:eastAsia="Arial" w:hAnsi="Arial"/>
          <w:sz w:val="18"/>
          <w:szCs w:val="18"/>
          <w:color w:val="auto"/>
        </w:rPr>
        <w:t xml:space="preserve">. There are no agreements in effect adversely affecting the rights of the Borrower to make, or cause to be made, the grant of the security interest in the Collateral Portfolio contemplated by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0" w:right="40" w:firstLine="989"/>
        <w:spacing w:after="0" w:line="262"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Event of Default/Unmatured Event of Default</w:t>
      </w:r>
      <w:r>
        <w:rPr>
          <w:rFonts w:ascii="Arial" w:cs="Arial" w:eastAsia="Arial" w:hAnsi="Arial"/>
          <w:sz w:val="18"/>
          <w:szCs w:val="18"/>
          <w:color w:val="auto"/>
        </w:rPr>
        <w:t>. No event has occurred which constitutes an Event of Default, and no event has occurred and is continuing which constitutes an Unmatured Event of Default (other than any Event of Default or Unmatured Event of Default which has previously been disclosed to the Administrative Agent as such).</w:t>
      </w:r>
    </w:p>
    <w:p>
      <w:pPr>
        <w:spacing w:after="0" w:line="74" w:lineRule="exact"/>
        <w:rPr>
          <w:rFonts w:ascii="Arial" w:cs="Arial" w:eastAsia="Arial" w:hAnsi="Arial"/>
          <w:sz w:val="18"/>
          <w:szCs w:val="18"/>
          <w:color w:val="auto"/>
        </w:rPr>
      </w:pPr>
    </w:p>
    <w:p>
      <w:pPr>
        <w:jc w:val="both"/>
        <w:ind w:left="-20" w:right="300" w:firstLine="989"/>
        <w:spacing w:after="0" w:line="262" w:lineRule="auto"/>
        <w:tabs>
          <w:tab w:leader="none" w:pos="122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Servicing Standard</w:t>
      </w:r>
      <w:r>
        <w:rPr>
          <w:rFonts w:ascii="Arial" w:cs="Arial" w:eastAsia="Arial" w:hAnsi="Arial"/>
          <w:sz w:val="18"/>
          <w:szCs w:val="18"/>
          <w:color w:val="auto"/>
        </w:rPr>
        <w:t>. Each of the Loan Assets was underwritten or acquired and is being serviced in conformance with the Servicing Standard established under the Credit and Collection Policy and the standard underwriting, credit, collection, operating and reporting procedures and systems of the Servicer or the Transferor.</w:t>
      </w:r>
    </w:p>
    <w:p>
      <w:pPr>
        <w:spacing w:after="0" w:line="74" w:lineRule="exact"/>
        <w:rPr>
          <w:rFonts w:ascii="Arial" w:cs="Arial" w:eastAsia="Arial" w:hAnsi="Arial"/>
          <w:sz w:val="18"/>
          <w:szCs w:val="18"/>
          <w:color w:val="auto"/>
        </w:rPr>
      </w:pPr>
    </w:p>
    <w:p>
      <w:pPr>
        <w:ind w:left="-20" w:firstLine="989"/>
        <w:spacing w:after="0" w:line="285" w:lineRule="auto"/>
        <w:tabs>
          <w:tab w:leader="none" w:pos="121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The present value of all vested benefits under each “employee pension benefit plan” as such term is defined in Section 3(2) of ERISA, other than a Multiemployer Plan, that is subject to Title IV of ERISA and is sponsored or maintained by the Borrower or any ERISA Affiliate of the Borrower or to which the Borrower or any ERISA Affiliate of the Borrower contributes or has an obligation to contribute, or has any liability (each, a “</w:t>
      </w:r>
      <w:r>
        <w:rPr>
          <w:rFonts w:ascii="Arial" w:cs="Arial" w:eastAsia="Arial" w:hAnsi="Arial"/>
          <w:sz w:val="16"/>
          <w:szCs w:val="16"/>
          <w:u w:val="single" w:color="auto"/>
          <w:color w:val="auto"/>
        </w:rPr>
        <w:t>Pension Plan</w:t>
      </w:r>
      <w:r>
        <w:rPr>
          <w:rFonts w:ascii="Arial" w:cs="Arial" w:eastAsia="Arial" w:hAnsi="Arial"/>
          <w:sz w:val="16"/>
          <w:szCs w:val="16"/>
          <w:color w:val="auto"/>
        </w:rPr>
        <w:t>”), does not exceed the value of the assets of the Pension Plan allocable to such vested benefits (based on the value of such assets as of the last annual valuation date for the Pension Plan) determined in accordance with the assumptions used for funding such Pension Plan pursuant to Sections 412 and 430 of the Code for the applicable plan year. No prohibited transactions (within the meaning of ERISA Section 406(a) or (b) or Code Section 4975, for which an exemption is not available or has not previously been obtained from the United States Department of Labor), failure by the Borrower to meet the minimum funding standard set forth in Section 302(a) of ERISA and Section 412(a) of the Code, withdrawal by the Borrower or any ERISA Affiliate of the Borrower from a Pension Plan subject to Section 4063 of ERISA during a plan year in which it was a “substantial employer” (as defined in Section 4001(a)(2) of ERISA), or Reportable Events have occurred with respect to any Pension Plan. No notice of intent to terminate a Pension Plan has been filed by the plan administrator under Section 4041 of ERISA, nor has any Pension Plan been terminated under Section 4041 of ERISA, nor has the Pension Benefit Guaranty Corporation instituted proceedings to terminate or appointed a trustee to administer a Pension Plan under Section 4042 of ERISA, and no event has occurred or condition exists which constitutes grounds under Section 4042 of ERISA for the termination of, or the appointment of a trustee to administer, any Pension Plan.</w:t>
      </w:r>
    </w:p>
    <w:p>
      <w:pPr>
        <w:spacing w:after="0" w:line="59" w:lineRule="exact"/>
        <w:rPr>
          <w:sz w:val="20"/>
          <w:szCs w:val="20"/>
          <w:color w:val="auto"/>
        </w:rPr>
      </w:pPr>
    </w:p>
    <w:p>
      <w:pPr>
        <w:ind w:left="-20" w:right="80" w:firstLine="989"/>
        <w:spacing w:after="0" w:line="258" w:lineRule="auto"/>
        <w:tabs>
          <w:tab w:leader="none" w:pos="129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Allocation of Charges</w:t>
      </w:r>
      <w:r>
        <w:rPr>
          <w:rFonts w:ascii="Arial" w:cs="Arial" w:eastAsia="Arial" w:hAnsi="Arial"/>
          <w:sz w:val="18"/>
          <w:szCs w:val="18"/>
          <w:color w:val="auto"/>
        </w:rPr>
        <w:t xml:space="preserve">. There is not any agreement or understanding between the Servicer and the Borrower (other than as expressly set forth herein or as consented to by the Administrative Agent), providing for the allocation or sharing of obligations to make payments or otherwise in respect of any taxes, fees, assessments or other governmental charges;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acknowledged that the Borrower will be consolidated with the Servicer for tax purposes.</w:t>
      </w:r>
    </w:p>
    <w:p>
      <w:pPr>
        <w:spacing w:after="0" w:line="77" w:lineRule="exact"/>
        <w:rPr>
          <w:rFonts w:ascii="Arial" w:cs="Arial" w:eastAsia="Arial" w:hAnsi="Arial"/>
          <w:sz w:val="18"/>
          <w:szCs w:val="18"/>
          <w:color w:val="auto"/>
        </w:rPr>
      </w:pPr>
    </w:p>
    <w:p>
      <w:pPr>
        <w:ind w:left="1320" w:hanging="351"/>
        <w:spacing w:after="0"/>
        <w:tabs>
          <w:tab w:leader="none" w:pos="132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Broker-Dealer</w:t>
      </w:r>
      <w:r>
        <w:rPr>
          <w:rFonts w:ascii="Arial" w:cs="Arial" w:eastAsia="Arial" w:hAnsi="Arial"/>
          <w:sz w:val="17"/>
          <w:szCs w:val="17"/>
          <w:color w:val="auto"/>
        </w:rPr>
        <w:t>. The Borrower is not a broker-dealer or subject to the Securities Investor Protection Act of 1970, as amended.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40"/>
          </w:cols>
          <w:pgMar w:left="480" w:top="273" w:right="479" w:bottom="1440" w:gutter="0" w:footer="0" w:header="0"/>
        </w:sectPr>
      </w:pPr>
    </w:p>
    <w:bookmarkStart w:id="169" w:name="page170"/>
    <w:bookmarkEnd w:id="169"/>
    <w:p>
      <w:pPr>
        <w:jc w:val="both"/>
        <w:ind w:right="160" w:firstLine="989"/>
        <w:spacing w:after="0" w:line="284" w:lineRule="auto"/>
        <w:tabs>
          <w:tab w:leader="none" w:pos="131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Instructions to Obligors</w:t>
      </w:r>
      <w:r>
        <w:rPr>
          <w:rFonts w:ascii="Arial" w:cs="Arial" w:eastAsia="Arial" w:hAnsi="Arial"/>
          <w:sz w:val="17"/>
          <w:szCs w:val="17"/>
          <w:color w:val="auto"/>
        </w:rPr>
        <w:t>. The Collection Account is the only account to which Obligors have been instructed by the Borrower, or the Servicer on the Borrower’s behalf, to send Principal Collections and Interest Collections on the Collateral Portfolio. The Borrower has not granted any Person other than the Collateral Agent, on behalf of the Secured Parties, an interest in the Collection Account.</w:t>
      </w:r>
    </w:p>
    <w:p>
      <w:pPr>
        <w:spacing w:after="0" w:line="58" w:lineRule="exact"/>
        <w:rPr>
          <w:rFonts w:ascii="Arial" w:cs="Arial" w:eastAsia="Arial" w:hAnsi="Arial"/>
          <w:sz w:val="17"/>
          <w:szCs w:val="17"/>
          <w:color w:val="auto"/>
        </w:rPr>
      </w:pPr>
    </w:p>
    <w:p>
      <w:pPr>
        <w:ind w:right="100" w:firstLine="989"/>
        <w:spacing w:after="0" w:line="255" w:lineRule="auto"/>
        <w:tabs>
          <w:tab w:leader="none" w:pos="133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Contribution Agreement and the Loan Assignment contemplated therein are the only agreements pursuant to which the Borrower acquires the Collateral Portfolio (other than with respect to a Loan Asset that is a loan or loan participation originated by Borrower). The Borrower accounts for the transfers of Loan Assets under the Contribution Agreement as contributions of such Loan Assets in its books, records and financial statements (although the financial statements of the Borrower and Transferor may be consolidated), in each case consistent with GAAP.</w:t>
      </w:r>
    </w:p>
    <w:p>
      <w:pPr>
        <w:spacing w:after="0" w:line="82" w:lineRule="exact"/>
        <w:rPr>
          <w:rFonts w:ascii="Arial" w:cs="Arial" w:eastAsia="Arial" w:hAnsi="Arial"/>
          <w:sz w:val="18"/>
          <w:szCs w:val="18"/>
          <w:color w:val="auto"/>
        </w:rPr>
      </w:pPr>
    </w:p>
    <w:p>
      <w:pPr>
        <w:ind w:right="540" w:firstLine="989"/>
        <w:spacing w:after="0" w:line="284" w:lineRule="auto"/>
        <w:tabs>
          <w:tab w:leader="none" w:pos="131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xml:space="preserve">. Neither the Borrower nor Solar Capital is required to register as an “investment company” under the provisions of the 1940 Act; </w:t>
      </w:r>
      <w:r>
        <w:rPr>
          <w:rFonts w:ascii="Arial" w:cs="Arial" w:eastAsia="Arial" w:hAnsi="Arial"/>
          <w:sz w:val="17"/>
          <w:szCs w:val="17"/>
          <w:u w:val="single" w:color="auto"/>
          <w:color w:val="auto"/>
        </w:rPr>
        <w:t>provided</w:t>
      </w:r>
      <w:r>
        <w:rPr>
          <w:rFonts w:ascii="Arial" w:cs="Arial" w:eastAsia="Arial" w:hAnsi="Arial"/>
          <w:sz w:val="17"/>
          <w:szCs w:val="17"/>
          <w:color w:val="auto"/>
        </w:rPr>
        <w:t>, that Solar Capital is regulated as a “business development company” under the 1940 Act. Each Advance hereunder and each Loan Asset acquired by the Borrower is an “eligible asset” as defined in Rule 3a-7 under the 1940 Act.</w:t>
      </w:r>
    </w:p>
    <w:p>
      <w:pPr>
        <w:spacing w:after="0" w:line="58" w:lineRule="exact"/>
        <w:rPr>
          <w:rFonts w:ascii="Arial" w:cs="Arial" w:eastAsia="Arial" w:hAnsi="Arial"/>
          <w:sz w:val="17"/>
          <w:szCs w:val="17"/>
          <w:color w:val="auto"/>
        </w:rPr>
      </w:pPr>
    </w:p>
    <w:p>
      <w:pPr>
        <w:jc w:val="both"/>
        <w:ind w:right="100" w:firstLine="989"/>
        <w:spacing w:after="0" w:line="258" w:lineRule="auto"/>
        <w:tabs>
          <w:tab w:leader="none" w:pos="126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Borrower has complied in all material respects with all Applicable Law to which it may be subject, and no item of the Collateral Portfolio contravenes any Applicable Law (including, without limitation, all applicable predatory and abusive lending laws, laws, rules and regulations relating to licensing, truth in lending, fair credit billing, fair credit reporting, equal credit opportunity, fair debt collection practices and privacy).</w:t>
      </w:r>
    </w:p>
    <w:p>
      <w:pPr>
        <w:spacing w:after="0" w:line="77" w:lineRule="exact"/>
        <w:rPr>
          <w:rFonts w:ascii="Arial" w:cs="Arial" w:eastAsia="Arial" w:hAnsi="Arial"/>
          <w:sz w:val="18"/>
          <w:szCs w:val="18"/>
          <w:color w:val="auto"/>
        </w:rPr>
      </w:pPr>
    </w:p>
    <w:p>
      <w:pPr>
        <w:ind w:right="280" w:firstLine="989"/>
        <w:spacing w:after="0" w:line="262" w:lineRule="auto"/>
        <w:tabs>
          <w:tab w:leader="none" w:pos="133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Collections</w:t>
      </w:r>
      <w:r>
        <w:rPr>
          <w:rFonts w:ascii="Arial" w:cs="Arial" w:eastAsia="Arial" w:hAnsi="Arial"/>
          <w:sz w:val="18"/>
          <w:szCs w:val="18"/>
          <w:color w:val="auto"/>
        </w:rPr>
        <w:t>. The Borrower acknowledges that all Available Collections received by it or its Affiliates with respect to the Collateral Portfolio transferred or Pledged hereunder are held and shall be held in trust for the benefit of the Collateral Agent, on behalf of the Secured Parties, until deposited into the Collection Account within two Business Days after receipt as required herein.</w:t>
      </w:r>
    </w:p>
    <w:p>
      <w:pPr>
        <w:spacing w:after="0" w:line="74" w:lineRule="exact"/>
        <w:rPr>
          <w:rFonts w:ascii="Arial" w:cs="Arial" w:eastAsia="Arial" w:hAnsi="Arial"/>
          <w:sz w:val="18"/>
          <w:szCs w:val="18"/>
          <w:color w:val="auto"/>
        </w:rPr>
      </w:pPr>
    </w:p>
    <w:p>
      <w:pPr>
        <w:ind w:firstLine="989"/>
        <w:spacing w:after="0" w:line="272" w:lineRule="auto"/>
        <w:tabs>
          <w:tab w:leader="none" w:pos="1330"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Set-Off, etc.</w:t>
      </w:r>
      <w:r>
        <w:rPr>
          <w:rFonts w:ascii="Arial" w:cs="Arial" w:eastAsia="Arial" w:hAnsi="Arial"/>
          <w:sz w:val="17"/>
          <w:szCs w:val="17"/>
          <w:color w:val="auto"/>
        </w:rPr>
        <w:t xml:space="preserve"> No Loan Asset has been compromised, adjusted, extended, satisfied, subordinated, rescinded, set-off or modified by the Borrower, the Transferor or the Obligor thereof, and no Collateral Portfolio is subject to compromise, adjustment, extension, satisfaction, subordination, rescission, set-off, counterclaim, defense, abatement, suspension, deferment, deduction, reduction, termination or modification, whether arising out of transactions concerning the Collateral Portfolio or otherwise, by the Borrower, the Transferor or the Obligor with respect thereto, except, in each case, for amendments, extensions and modifications, if any, to such Collateral Portfolio otherwise permitted pursuant to </w:t>
      </w:r>
      <w:r>
        <w:rPr>
          <w:rFonts w:ascii="Arial" w:cs="Arial" w:eastAsia="Arial" w:hAnsi="Arial"/>
          <w:sz w:val="17"/>
          <w:szCs w:val="17"/>
          <w:u w:val="single" w:color="auto"/>
          <w:color w:val="auto"/>
        </w:rPr>
        <w:t>Section 6.04(a)</w:t>
      </w:r>
      <w:r>
        <w:rPr>
          <w:rFonts w:ascii="Arial" w:cs="Arial" w:eastAsia="Arial" w:hAnsi="Arial"/>
          <w:sz w:val="17"/>
          <w:szCs w:val="17"/>
          <w:color w:val="auto"/>
        </w:rPr>
        <w:t xml:space="preserve"> of this Agreement and in accordance with the Credit and Collection Policy and the Servicing Standard.</w:t>
      </w:r>
    </w:p>
    <w:p>
      <w:pPr>
        <w:spacing w:after="0" w:line="68" w:lineRule="exact"/>
        <w:rPr>
          <w:rFonts w:ascii="Arial" w:cs="Arial" w:eastAsia="Arial" w:hAnsi="Arial"/>
          <w:sz w:val="17"/>
          <w:szCs w:val="17"/>
          <w:color w:val="auto"/>
        </w:rPr>
      </w:pPr>
    </w:p>
    <w:p>
      <w:pPr>
        <w:ind w:right="300" w:firstLine="989"/>
        <w:spacing w:after="0" w:line="275" w:lineRule="auto"/>
        <w:tabs>
          <w:tab w:leader="none" w:pos="125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As of the applicable Cut-Off Date thereof, the Borrower has no knowledge of any fact which should lead it to expect that any Loan Asset will not be paid in full.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460" w:top="273" w:right="479" w:bottom="1440" w:gutter="0" w:footer="0" w:header="0"/>
        </w:sectPr>
      </w:pPr>
    </w:p>
    <w:bookmarkStart w:id="170" w:name="page171"/>
    <w:bookmarkEnd w:id="170"/>
    <w:p>
      <w:pPr>
        <w:ind w:left="-40" w:firstLine="989"/>
        <w:spacing w:after="0" w:line="287" w:lineRule="auto"/>
        <w:tabs>
          <w:tab w:leader="none" w:pos="12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Environmental</w:t>
      </w:r>
      <w:r>
        <w:rPr>
          <w:rFonts w:ascii="Arial" w:cs="Arial" w:eastAsia="Arial" w:hAnsi="Arial"/>
          <w:sz w:val="16"/>
          <w:szCs w:val="16"/>
          <w:color w:val="auto"/>
        </w:rPr>
        <w:t>. With respect to each item of Underlying Collateral as of the applicable Cut-Off Date for the Loan Asset related to such Underlying Collateral, to the actual knowledge of a Responsible Officer of the Borrower: (a) the related Obligor’s operations comply in all material respects with all applicable Environmental Laws; (b) none of the related Obligor’s operations is the subject of a Federal or state investigation evaluating whether any remedial action, involving expenditures, is needed to respond to a release of any Hazardous Materials into the environment; and (c) the related Obligor does not have any material contingent liability in connection with any release of any Hazardous Materials into the environment. As of the applicable Cut-Off Date for the Loan Asset related to such Underlying Collateral, none of the Borrower, the Transferor nor the Servicer has received any written or verbal notice of, or inquiry from any Governmental Authority regarding, any violation, alleged violation, non-compliance, liability or potential liability regarding environmental matters or compliance with Environmental Laws with regard to any of the Underlying Collateral, nor does any such Person have knowledge or reason to believe that any such notice will be received or is being threatened.</w:t>
      </w:r>
    </w:p>
    <w:p>
      <w:pPr>
        <w:spacing w:after="0" w:line="62" w:lineRule="exact"/>
        <w:rPr>
          <w:rFonts w:ascii="Arial" w:cs="Arial" w:eastAsia="Arial" w:hAnsi="Arial"/>
          <w:sz w:val="16"/>
          <w:szCs w:val="16"/>
          <w:color w:val="auto"/>
        </w:rPr>
      </w:pPr>
    </w:p>
    <w:p>
      <w:pPr>
        <w:ind w:left="-40" w:right="20" w:firstLine="989"/>
        <w:spacing w:after="0" w:line="290" w:lineRule="auto"/>
        <w:tabs>
          <w:tab w:leader="none" w:pos="129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Neither the Borrower nor any Affiliate of the Borrower is (i) a country, territory, organization, person or entity named on an Office of Foreign Asset Control (OFAC) list; (ii) a 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(iii) a “</w:t>
      </w:r>
      <w:r>
        <w:rPr>
          <w:rFonts w:ascii="Arial" w:cs="Arial" w:eastAsia="Arial" w:hAnsi="Arial"/>
          <w:sz w:val="16"/>
          <w:szCs w:val="16"/>
          <w:u w:val="single" w:color="auto"/>
          <w:color w:val="auto"/>
        </w:rPr>
        <w:t>Foreign Shell Bank</w:t>
      </w:r>
      <w:r>
        <w:rPr>
          <w:rFonts w:ascii="Arial" w:cs="Arial" w:eastAsia="Arial" w:hAnsi="Arial"/>
          <w:sz w:val="16"/>
          <w:szCs w:val="16"/>
          <w:color w:val="auto"/>
        </w:rPr>
        <w:t>” within the meaning of the USA PATRIOT Act, i.e., a foreign bank that does not have a physical presence in any country and that is not affiliated with a bank that has a physical presence and an acceptable level of regulation and supervision; or (iv) a person or entity that resides in or is organized under the laws of a jurisdiction designated by the United States Secretary of the Treasury under Sections 311 or 312 of the USA PATRIOT Act as warranting special measures due to money laundering concerns.</w:t>
      </w:r>
    </w:p>
    <w:p>
      <w:pPr>
        <w:spacing w:after="0" w:line="56" w:lineRule="exact"/>
        <w:rPr>
          <w:rFonts w:ascii="Arial" w:cs="Arial" w:eastAsia="Arial" w:hAnsi="Arial"/>
          <w:sz w:val="16"/>
          <w:szCs w:val="16"/>
          <w:color w:val="auto"/>
        </w:rPr>
      </w:pPr>
    </w:p>
    <w:p>
      <w:pPr>
        <w:jc w:val="both"/>
        <w:ind w:left="-40" w:right="160" w:firstLine="989"/>
        <w:spacing w:after="0" w:line="310" w:lineRule="auto"/>
        <w:tabs>
          <w:tab w:leader="none" w:pos="121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Confirmation from Transferor</w:t>
      </w:r>
      <w:r>
        <w:rPr>
          <w:rFonts w:ascii="Arial" w:cs="Arial" w:eastAsia="Arial" w:hAnsi="Arial"/>
          <w:sz w:val="16"/>
          <w:szCs w:val="16"/>
          <w:color w:val="auto"/>
        </w:rPr>
        <w:t>. The Borrower has received a letter in writing (which letters have been provided to the Administrative Agent for the benefit of the Secured Parties, who are intended third party beneficiaries thereunder) from the Transferor and Solar Management stating that such Persons will not suffer or permit the Borrower to file a voluntary bankruptcy petition under the Bankruptcy Code.</w:t>
      </w:r>
    </w:p>
    <w:p>
      <w:pPr>
        <w:spacing w:after="0" w:line="39" w:lineRule="exact"/>
        <w:rPr>
          <w:rFonts w:ascii="Arial" w:cs="Arial" w:eastAsia="Arial" w:hAnsi="Arial"/>
          <w:sz w:val="16"/>
          <w:szCs w:val="16"/>
          <w:color w:val="auto"/>
        </w:rPr>
      </w:pPr>
    </w:p>
    <w:p>
      <w:pPr>
        <w:ind w:left="-40" w:right="20" w:firstLine="989"/>
        <w:spacing w:after="0" w:line="305" w:lineRule="auto"/>
        <w:tabs>
          <w:tab w:leader="none" w:pos="1389"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Accuracy of Representations and Warranties</w:t>
      </w:r>
      <w:r>
        <w:rPr>
          <w:rFonts w:ascii="Arial" w:cs="Arial" w:eastAsia="Arial" w:hAnsi="Arial"/>
          <w:sz w:val="17"/>
          <w:szCs w:val="17"/>
          <w:color w:val="auto"/>
        </w:rPr>
        <w:t>. Each representation or warranty by the Borrower contained herein or in any certificate or other document furnished by the Borrower pursuant hereto or in connection herewith is true and correct in all material respects.</w:t>
      </w:r>
    </w:p>
    <w:p>
      <w:pPr>
        <w:spacing w:after="0" w:line="40" w:lineRule="exact"/>
        <w:rPr>
          <w:rFonts w:ascii="Arial" w:cs="Arial" w:eastAsia="Arial" w:hAnsi="Arial"/>
          <w:sz w:val="17"/>
          <w:szCs w:val="17"/>
          <w:color w:val="auto"/>
        </w:rPr>
      </w:pPr>
    </w:p>
    <w:p>
      <w:pPr>
        <w:jc w:val="both"/>
        <w:ind w:left="-40" w:right="20" w:firstLine="989"/>
        <w:spacing w:after="0" w:line="310" w:lineRule="auto"/>
        <w:tabs>
          <w:tab w:leader="none" w:pos="129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Reaffirmation of Representations and Warranties</w:t>
      </w:r>
      <w:r>
        <w:rPr>
          <w:rFonts w:ascii="Arial" w:cs="Arial" w:eastAsia="Arial" w:hAnsi="Arial"/>
          <w:sz w:val="16"/>
          <w:szCs w:val="16"/>
          <w:color w:val="auto"/>
        </w:rPr>
        <w:t xml:space="preserve">. On each day that any Advance is made hereunder, the Borrower shall be deemed to have certified that all representations and warranties described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are correct in all material respects on and as of such day as though made on and as of such day, except for any such representations or warranties which are made as of a specific date.</w:t>
      </w:r>
    </w:p>
    <w:p>
      <w:pPr>
        <w:spacing w:after="0" w:line="39" w:lineRule="exact"/>
        <w:rPr>
          <w:rFonts w:ascii="Arial" w:cs="Arial" w:eastAsia="Arial" w:hAnsi="Arial"/>
          <w:sz w:val="16"/>
          <w:szCs w:val="16"/>
          <w:color w:val="auto"/>
        </w:rPr>
      </w:pPr>
    </w:p>
    <w:p>
      <w:pPr>
        <w:ind w:left="-40" w:right="20" w:firstLine="989"/>
        <w:spacing w:after="0" w:line="262" w:lineRule="auto"/>
        <w:tabs>
          <w:tab w:leader="none" w:pos="129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Security Interest</w:t>
      </w:r>
      <w:r>
        <w:rPr>
          <w:rFonts w:ascii="Arial" w:cs="Arial" w:eastAsia="Arial" w:hAnsi="Arial"/>
          <w:sz w:val="18"/>
          <w:szCs w:val="18"/>
          <w:color w:val="auto"/>
        </w:rPr>
        <w:t>. (i) This Agreement creates a valid and continuing security interest (as defined in the applicable UCC) in the Borrower’s rights in the Collateral Portfolio in favor of the Collateral Agent, on behalf of the Secured Parties, which security interest is prior to all other Liens (except for Permitted Liens), and is enforceable as such against creditors of and purchasers from the Borrower;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880"/>
          </w:cols>
          <w:pgMar w:left="500" w:top="273" w:right="519" w:bottom="1440" w:gutter="0" w:footer="0" w:header="0"/>
        </w:sectPr>
      </w:pPr>
    </w:p>
    <w:bookmarkStart w:id="171" w:name="page172"/>
    <w:bookmarkEnd w:id="171"/>
    <w:p>
      <w:pPr>
        <w:ind w:right="100" w:firstLine="421"/>
        <w:spacing w:after="0" w:line="258"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Collateral Portfolio is comprised of “instruments”, “security entitlements”, “general intangibles”, “chattel paper”, “accounts”, “certificated securities”, “uncertificated securities”, “securities accounts”, “deposit accounts”, “supporting obligations” or “insurance” (each as defined in the applicable UCC) or the proceeds of the foregoing or real property or such other category of collateral under the applicable UCC as to which the Borrower has complied with its obligations under this </w:t>
      </w:r>
      <w:r>
        <w:rPr>
          <w:rFonts w:ascii="Arial" w:cs="Arial" w:eastAsia="Arial" w:hAnsi="Arial"/>
          <w:sz w:val="18"/>
          <w:szCs w:val="18"/>
          <w:u w:val="single" w:color="auto"/>
          <w:color w:val="auto"/>
        </w:rPr>
        <w:t>Section 4.01(oo)</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40" w:hanging="319"/>
        <w:spacing w:after="0"/>
        <w:tabs>
          <w:tab w:leader="none" w:pos="7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Collateral Portfolio that constitute “security entitlements”:</w:t>
      </w:r>
    </w:p>
    <w:p>
      <w:pPr>
        <w:spacing w:after="0" w:line="115" w:lineRule="exact"/>
        <w:rPr>
          <w:rFonts w:ascii="Arial" w:cs="Arial" w:eastAsia="Arial" w:hAnsi="Arial"/>
          <w:sz w:val="18"/>
          <w:szCs w:val="18"/>
          <w:color w:val="auto"/>
        </w:rPr>
      </w:pPr>
    </w:p>
    <w:p>
      <w:pPr>
        <w:ind w:left="540" w:right="400" w:firstLine="408"/>
        <w:spacing w:after="0" w:line="262"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of such security entitlements have been credited to the Collection Account or the URCA Account and the securities intermediary for the Collection Account or the URCA Account has agreed to treat all assets credited to the Collection Account or the URCA Account as “financial assets” within the meaning of the applicable UCC;</w:t>
      </w:r>
    </w:p>
    <w:p>
      <w:pPr>
        <w:spacing w:after="0" w:line="74" w:lineRule="exact"/>
        <w:rPr>
          <w:rFonts w:ascii="Arial" w:cs="Arial" w:eastAsia="Arial" w:hAnsi="Arial"/>
          <w:sz w:val="18"/>
          <w:szCs w:val="18"/>
          <w:color w:val="auto"/>
        </w:rPr>
      </w:pPr>
    </w:p>
    <w:p>
      <w:pPr>
        <w:ind w:left="540" w:right="200" w:firstLine="408"/>
        <w:spacing w:after="0" w:line="310" w:lineRule="auto"/>
        <w:tabs>
          <w:tab w:leader="none" w:pos="111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to the extent that the Collateral Agent is for any reason not the entitlement holder thereunder, the Borrower has taken all steps necessary to cause the securities intermediary to identify in its records the Collateral Agent, for the benefit of the Secured Parties, as the Person having a security entitlement against the securities intermediary in the Collection Account and the URCA Account; and</w:t>
      </w:r>
    </w:p>
    <w:p>
      <w:pPr>
        <w:spacing w:after="0" w:line="39" w:lineRule="exact"/>
        <w:rPr>
          <w:rFonts w:ascii="Arial" w:cs="Arial" w:eastAsia="Arial" w:hAnsi="Arial"/>
          <w:sz w:val="16"/>
          <w:szCs w:val="16"/>
          <w:color w:val="auto"/>
        </w:rPr>
      </w:pPr>
    </w:p>
    <w:p>
      <w:pPr>
        <w:ind w:left="540" w:firstLine="408"/>
        <w:spacing w:after="0" w:line="253" w:lineRule="auto"/>
        <w:tabs>
          <w:tab w:leader="none" w:pos="1108"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neither the Collection Account nor the URCA Account is in the name of any Person other than the Borrower, subject to the lien of the Collateral Agent, for the benefit of the Secured Parties. The securities intermediary of the Collection Account and the URCA Account, which is a “securities account” under the UCC, has agreed to comply with the entitlement orders and instructions of the Borrower, the Servicer and the Collateral Agent (acting at the direction of the Administrative Agent) in accordance with the Transaction Documents, including causing cash to be invested in Permitted Investments;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delivery of a Notice of Exclusive Control by the Collateral Agent (acting at the direction of the Administrative Agent), the securities intermediary has agreed to only follow the entitlement orders and instructions of the Collateral Agent, on behalf of the Secured Parties, including with respect to the investment of cash in Permitted Investments.</w:t>
      </w:r>
    </w:p>
    <w:p>
      <w:pPr>
        <w:spacing w:after="0" w:line="81" w:lineRule="exact"/>
        <w:rPr>
          <w:rFonts w:ascii="Arial" w:cs="Arial" w:eastAsia="Arial" w:hAnsi="Arial"/>
          <w:sz w:val="18"/>
          <w:szCs w:val="18"/>
          <w:color w:val="auto"/>
        </w:rPr>
      </w:pPr>
    </w:p>
    <w:p>
      <w:pPr>
        <w:ind w:right="620" w:firstLine="421"/>
        <w:spacing w:after="0" w:line="275" w:lineRule="auto"/>
        <w:tabs>
          <w:tab w:leader="none" w:pos="72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of the Collection Account and the URCA Account constitutes a “securities account” or “deposit account” as defined in the applicable UCC;</w:t>
      </w:r>
    </w:p>
    <w:p>
      <w:pPr>
        <w:spacing w:after="0" w:line="63" w:lineRule="exact"/>
        <w:rPr>
          <w:rFonts w:ascii="Arial" w:cs="Arial" w:eastAsia="Arial" w:hAnsi="Arial"/>
          <w:sz w:val="18"/>
          <w:szCs w:val="18"/>
          <w:color w:val="auto"/>
        </w:rPr>
      </w:pPr>
    </w:p>
    <w:p>
      <w:pPr>
        <w:ind w:right="220" w:firstLine="421"/>
        <w:spacing w:after="0" w:line="262" w:lineRule="auto"/>
        <w:tabs>
          <w:tab w:leader="none" w:pos="67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Borrower, the Account Bank and the Collateral Agent, on behalf of the Secured Parties, have entered into the Collection Account Agreement; and the Collection Account Agreement, together with this Agreement, grants to the Collateral Agent, for the benefit of the Secured Parties, a first priority perfected security interest in the Collection Account;</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480"/>
          </w:cols>
          <w:pgMar w:left="900" w:top="273" w:right="519" w:bottom="1440" w:gutter="0" w:footer="0" w:header="0"/>
        </w:sectPr>
      </w:pPr>
    </w:p>
    <w:bookmarkStart w:id="172" w:name="page173"/>
    <w:bookmarkEnd w:id="172"/>
    <w:p>
      <w:pPr>
        <w:jc w:val="both"/>
        <w:ind w:right="500" w:firstLine="421"/>
        <w:spacing w:after="0" w:line="262" w:lineRule="auto"/>
        <w:tabs>
          <w:tab w:leader="none" w:pos="7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Borrower, the Account Bank and the Collateral Agent, on behalf of the Secured Parties, have entered into the URCA Account Agreement; and the URCA Account Agreement, together with this Agreement, grants to the Collateral Agent, for the benefit of the Secured Parties, a first priority perfected security interest in the URCA Account;</w:t>
      </w:r>
    </w:p>
    <w:p>
      <w:pPr>
        <w:spacing w:after="0" w:line="74" w:lineRule="exact"/>
        <w:rPr>
          <w:rFonts w:ascii="Arial" w:cs="Arial" w:eastAsia="Arial" w:hAnsi="Arial"/>
          <w:sz w:val="18"/>
          <w:szCs w:val="18"/>
          <w:color w:val="auto"/>
        </w:rPr>
      </w:pPr>
    </w:p>
    <w:p>
      <w:pPr>
        <w:ind w:left="780" w:hanging="359"/>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5" w:lineRule="exact"/>
        <w:rPr>
          <w:rFonts w:ascii="Arial" w:cs="Arial" w:eastAsia="Arial" w:hAnsi="Arial"/>
          <w:sz w:val="18"/>
          <w:szCs w:val="18"/>
          <w:color w:val="auto"/>
        </w:rPr>
      </w:pPr>
    </w:p>
    <w:p>
      <w:pPr>
        <w:ind w:right="240" w:firstLine="421"/>
        <w:spacing w:after="0" w:line="275" w:lineRule="auto"/>
        <w:tabs>
          <w:tab w:leader="none" w:pos="8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Borrower owns and has good and marketable title to (or with respect to assets securing any Loan Assets, a valid security interest in) the Collateral Portfolio free and clear of any Lien (other than Permitted Liens) of any Person;</w:t>
      </w:r>
    </w:p>
    <w:p>
      <w:pPr>
        <w:spacing w:after="0" w:line="63" w:lineRule="exact"/>
        <w:rPr>
          <w:rFonts w:ascii="Arial" w:cs="Arial" w:eastAsia="Arial" w:hAnsi="Arial"/>
          <w:sz w:val="18"/>
          <w:szCs w:val="18"/>
          <w:color w:val="auto"/>
        </w:rPr>
      </w:pPr>
    </w:p>
    <w:p>
      <w:pPr>
        <w:ind w:right="20" w:firstLine="421"/>
        <w:spacing w:after="0" w:line="275" w:lineRule="auto"/>
        <w:tabs>
          <w:tab w:leader="none" w:pos="7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any Loan Asset to the granting of a security interest in the Loan Assets hereunder to the Collateral Agent, on behalf of the Secured Parties;</w:t>
      </w:r>
    </w:p>
    <w:p>
      <w:pPr>
        <w:spacing w:after="0" w:line="63" w:lineRule="exact"/>
        <w:rPr>
          <w:rFonts w:ascii="Arial" w:cs="Arial" w:eastAsia="Arial" w:hAnsi="Arial"/>
          <w:sz w:val="18"/>
          <w:szCs w:val="18"/>
          <w:color w:val="auto"/>
        </w:rPr>
      </w:pPr>
    </w:p>
    <w:p>
      <w:pPr>
        <w:ind w:right="40" w:firstLine="421"/>
        <w:spacing w:after="0" w:line="258" w:lineRule="auto"/>
        <w:tabs>
          <w:tab w:leader="none" w:pos="67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the Borrower has caused the filing of all appropriate financing statements in the proper filing office in the appropriate jurisdictions under Applicable Law in order to perfect the security interest in the Collateral Portfolio and that portion of the Loan Assets in which a security interest may be perfected by filing granted to the Collateral Agent, on behalf of the Secured Parties,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filings in respect of real property shall not be required;</w:t>
      </w:r>
    </w:p>
    <w:p>
      <w:pPr>
        <w:spacing w:after="0" w:line="77" w:lineRule="exact"/>
        <w:rPr>
          <w:rFonts w:ascii="Arial" w:cs="Arial" w:eastAsia="Arial" w:hAnsi="Arial"/>
          <w:sz w:val="18"/>
          <w:szCs w:val="18"/>
          <w:color w:val="auto"/>
        </w:rPr>
      </w:pPr>
    </w:p>
    <w:p>
      <w:pPr>
        <w:ind w:right="20" w:firstLine="421"/>
        <w:spacing w:after="0" w:line="269" w:lineRule="auto"/>
        <w:tabs>
          <w:tab w:leader="none" w:pos="72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other than as expressly permitted by the terms of this Agreement and the security interest granted to the Collateral Agent, on behalf of the Secured Parties, pursuant to this Agreement, the Borrower has not pledged, assigned, sold, granted a security interest in or otherwise conveyed any of the Collateral Portfolio. The Borrower has not authorized the filing of and is not aware of any financing statements against the Borrower that include a description of collateral covering the Collateral Portfolio other than any financing statement (A) relating to the security interests granted to the Borrower under the Contribution Agreement, (B) that has been terminated or fully and validly assigned to the Collateral Agent on or prior to the date hereof, or (C) reflecting the transfer of assets on a Release Date pursuant to (and simultaneously with or subsequent to) the consummation of any transaction contemplated under (and in compliance with the conditions set forth in) </w:t>
      </w:r>
      <w:r>
        <w:rPr>
          <w:rFonts w:ascii="Arial" w:cs="Arial" w:eastAsia="Arial" w:hAnsi="Arial"/>
          <w:sz w:val="17"/>
          <w:szCs w:val="17"/>
          <w:u w:val="single" w:color="auto"/>
          <w:color w:val="auto"/>
        </w:rPr>
        <w:t>Section 2.07</w:t>
      </w:r>
      <w:r>
        <w:rPr>
          <w:rFonts w:ascii="Arial" w:cs="Arial" w:eastAsia="Arial" w:hAnsi="Arial"/>
          <w:sz w:val="17"/>
          <w:szCs w:val="17"/>
          <w:color w:val="auto"/>
        </w:rPr>
        <w:t>. The Borrower is not aware of the filing of any judgment or Tax lien filings against the Borrower;</w:t>
      </w:r>
    </w:p>
    <w:p>
      <w:pPr>
        <w:spacing w:after="0" w:line="74" w:lineRule="exact"/>
        <w:rPr>
          <w:rFonts w:ascii="Arial" w:cs="Arial" w:eastAsia="Arial" w:hAnsi="Arial"/>
          <w:sz w:val="17"/>
          <w:szCs w:val="17"/>
          <w:color w:val="auto"/>
        </w:rPr>
      </w:pPr>
    </w:p>
    <w:p>
      <w:pPr>
        <w:ind w:right="120" w:firstLine="421"/>
        <w:spacing w:after="0" w:line="339" w:lineRule="auto"/>
        <w:tabs>
          <w:tab w:leader="none" w:pos="77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all original executed copies of each underlying promissory note or copies of each Loan Asset Register, as applicable, that constitute or evidence each Loan Asset has been, or subject to the delivery requirements contained herein, will be delivered to the Collateral Custodian;</w:t>
      </w:r>
    </w:p>
    <w:p>
      <w:pPr>
        <w:spacing w:after="0" w:line="17" w:lineRule="exact"/>
        <w:rPr>
          <w:rFonts w:ascii="Arial" w:cs="Arial" w:eastAsia="Arial" w:hAnsi="Arial"/>
          <w:sz w:val="16"/>
          <w:szCs w:val="16"/>
          <w:color w:val="auto"/>
        </w:rPr>
      </w:pPr>
    </w:p>
    <w:p>
      <w:pPr>
        <w:jc w:val="both"/>
        <w:ind w:firstLine="421"/>
        <w:spacing w:after="0" w:line="258" w:lineRule="auto"/>
        <w:tabs>
          <w:tab w:leader="none" w:pos="82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than in the case of Noteless Loan Assets, the Borrower has received, or subject to the delivery requirements contained herein will receive, a written acknowledgment from the Collateral Custodian that the Collateral Custodian, as the bailee of the Collateral Agent, is holding the underlying promissory notes that constitute or evidence the Loan Assets solely on behalf of and for the Collateral Agent, for the benefit of the Secured Parties;</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520"/>
          </w:cols>
          <w:pgMar w:left="900" w:top="273" w:right="479" w:bottom="1440" w:gutter="0" w:footer="0" w:header="0"/>
        </w:sectPr>
      </w:pPr>
    </w:p>
    <w:bookmarkStart w:id="173" w:name="page174"/>
    <w:bookmarkEnd w:id="173"/>
    <w:p>
      <w:pPr>
        <w:ind w:left="420" w:right="220" w:firstLine="421"/>
        <w:spacing w:after="0" w:line="262" w:lineRule="auto"/>
        <w:tabs>
          <w:tab w:leader="none" w:pos="1234"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none of the underlying promissory notes, or Loan Asset Registers, as applicable, that constitute or evidence the Loan Assets has any marks or notations indicating that they have been pledged, assigned or otherwise conveyed to any Person other than the Collateral Agent, on behalf of the Secured Parties;</w:t>
      </w:r>
    </w:p>
    <w:p>
      <w:pPr>
        <w:spacing w:after="0" w:line="74" w:lineRule="exact"/>
        <w:rPr>
          <w:rFonts w:ascii="Arial" w:cs="Arial" w:eastAsia="Arial" w:hAnsi="Arial"/>
          <w:sz w:val="18"/>
          <w:szCs w:val="18"/>
          <w:color w:val="auto"/>
        </w:rPr>
      </w:pPr>
    </w:p>
    <w:p>
      <w:pPr>
        <w:ind w:left="420" w:firstLine="421"/>
        <w:spacing w:after="0" w:line="277" w:lineRule="auto"/>
        <w:tabs>
          <w:tab w:leader="none" w:pos="1184"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with respect to any Collateral Portfolio that constitutes a “certificated security,” such certificated security has been delivered to the Collateral Custodian, on behalf of the Secured Parties and, if in registered form, has been specially Indorsed to the Collateral Agent, for the benefit of the Secured Parties, or in blank by an effective Indorsement or has been registered in the name of the Collateral Agent, for the benefit of the Secured Parties, upon original issue or registration of transfer by the Borrower of such certificated security; and</w:t>
      </w:r>
    </w:p>
    <w:p>
      <w:pPr>
        <w:spacing w:after="0" w:line="65" w:lineRule="exact"/>
        <w:rPr>
          <w:rFonts w:ascii="Arial" w:cs="Arial" w:eastAsia="Arial" w:hAnsi="Arial"/>
          <w:sz w:val="17"/>
          <w:szCs w:val="17"/>
          <w:color w:val="auto"/>
        </w:rPr>
      </w:pPr>
    </w:p>
    <w:p>
      <w:pPr>
        <w:ind w:left="420" w:right="40" w:firstLine="421"/>
        <w:spacing w:after="0" w:line="258" w:lineRule="auto"/>
        <w:tabs>
          <w:tab w:leader="none" w:pos="123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any Collateral Portfolio that constitutes an “uncertificated security”, that the Borrower shall cause the issuer of such uncertificated security to register the Collateral Agent, on behalf of the Secured Parties, as the registered owner of such uncertificated security, or enter into a control agreement granting a perfected first Lien in such uncertificated security in a manner acceptable to the Collateral Agent and the Administrative Agent.</w:t>
      </w:r>
    </w:p>
    <w:p>
      <w:pPr>
        <w:spacing w:after="0" w:line="77" w:lineRule="exact"/>
        <w:rPr>
          <w:rFonts w:ascii="Arial" w:cs="Arial" w:eastAsia="Arial" w:hAnsi="Arial"/>
          <w:sz w:val="18"/>
          <w:szCs w:val="18"/>
          <w:color w:val="auto"/>
        </w:rPr>
      </w:pPr>
    </w:p>
    <w:p>
      <w:pPr>
        <w:ind w:left="-20" w:right="360" w:firstLine="989"/>
        <w:spacing w:after="0" w:line="305" w:lineRule="auto"/>
        <w:tabs>
          <w:tab w:leader="none" w:pos="131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No Other Agreements</w:t>
      </w:r>
      <w:r>
        <w:rPr>
          <w:rFonts w:ascii="Arial" w:cs="Arial" w:eastAsia="Arial" w:hAnsi="Arial"/>
          <w:sz w:val="17"/>
          <w:szCs w:val="17"/>
          <w:color w:val="auto"/>
        </w:rPr>
        <w:t>. As of the Closing Date, the Borrower is not party to any agreements other than the applicable Transaction Documents to which it is a party and the Required Loan Documents in respect of which the Borrower is a lender.</w:t>
      </w:r>
    </w:p>
    <w:p>
      <w:pPr>
        <w:spacing w:after="0" w:line="40" w:lineRule="exact"/>
        <w:rPr>
          <w:rFonts w:ascii="Arial" w:cs="Arial" w:eastAsia="Arial" w:hAnsi="Arial"/>
          <w:sz w:val="17"/>
          <w:szCs w:val="17"/>
          <w:color w:val="auto"/>
        </w:rPr>
      </w:pPr>
    </w:p>
    <w:p>
      <w:pPr>
        <w:ind w:left="-20" w:firstLine="989"/>
        <w:spacing w:after="0" w:line="270" w:lineRule="auto"/>
        <w:tabs>
          <w:tab w:leader="none" w:pos="1310" w:val="left"/>
        </w:tabs>
        <w:numPr>
          <w:ilvl w:val="1"/>
          <w:numId w:val="143"/>
        </w:numPr>
        <w:rPr>
          <w:rFonts w:ascii="Arial" w:cs="Arial" w:eastAsia="Arial" w:hAnsi="Arial"/>
          <w:sz w:val="17"/>
          <w:szCs w:val="17"/>
          <w:color w:val="auto"/>
        </w:rPr>
      </w:pPr>
      <w:r>
        <w:rPr>
          <w:rFonts w:ascii="Arial" w:cs="Arial" w:eastAsia="Arial" w:hAnsi="Arial"/>
          <w:sz w:val="17"/>
          <w:szCs w:val="17"/>
          <w:u w:val="single" w:color="auto"/>
          <w:color w:val="auto"/>
        </w:rPr>
        <w:t>Sanctions, Anti-Money Laundering and Anti Bribery and Corruption</w:t>
      </w:r>
      <w:r>
        <w:rPr>
          <w:rFonts w:ascii="Arial" w:cs="Arial" w:eastAsia="Arial" w:hAnsi="Arial"/>
          <w:sz w:val="17"/>
          <w:szCs w:val="17"/>
          <w:color w:val="auto"/>
        </w:rPr>
        <w:t>. (i) The Borrower has not taken and to the knowledge of the Borrower, no director, officer, agent, employee, controlled affiliate or other person acting on behalf of the Borrower has taken, any action, directly or indirectly, that could reasonably be expected to result in a violation or a sanction for violation by such persons of the Foreign Corrupt Practices Act of 1977 or the U.K. Bribery Act 2010, each as may be amended, or similar law of any other relevant jurisdiction, or the rules or regulations thereunder; and policies and procedures are in place designed to ensure compliance therewith. No part of the proceeds of the Advances will be used by the Borrower, directly or indirectly, in violation of the Foreign Corrupt Practices Act of 1977 or the U.K. Bribery Act 2010, each as may be amended, or similar law of any other relevant jurisdiction, or the rules or regulations thereunder.</w:t>
      </w:r>
    </w:p>
    <w:p>
      <w:pPr>
        <w:spacing w:after="0" w:line="73" w:lineRule="exact"/>
        <w:rPr>
          <w:sz w:val="20"/>
          <w:szCs w:val="20"/>
          <w:color w:val="auto"/>
        </w:rPr>
      </w:pPr>
    </w:p>
    <w:p>
      <w:pPr>
        <w:ind w:left="420" w:firstLine="421"/>
        <w:spacing w:after="0" w:line="292" w:lineRule="auto"/>
        <w:tabs>
          <w:tab w:leader="none" w:pos="110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operations of the Borrower are and have been conducted at all times in compliance, in all material respects, with applicable financial recordkeeping and reporting requirements, including the Currency and Foreign Transactions Reporting Act of 1970, as amended, the applicable money laundering statutes of all jurisdictions where the Borrower conducts business, the rules and regulations thereunder and any related or similar rules, regulations or guidelines, issued, administered or enforced by any governmental agency (collectively, the “</w:t>
      </w:r>
      <w:r>
        <w:rPr>
          <w:rFonts w:ascii="Arial" w:cs="Arial" w:eastAsia="Arial" w:hAnsi="Arial"/>
          <w:sz w:val="16"/>
          <w:szCs w:val="16"/>
          <w:u w:val="single" w:color="auto"/>
          <w:color w:val="auto"/>
        </w:rPr>
        <w:t>Anti-Money Laundering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and no action, suit or proceeding by or before any court or governmental agency, authority or body or any arbitrator involving the Borrower with respect to the Anti-Money Laundering Laws is pending or, to the knowledge of the Borrower, threatened.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20"/>
          </w:cols>
          <w:pgMar w:left="480" w:top="273" w:right="499" w:bottom="1440" w:gutter="0" w:footer="0" w:header="0"/>
        </w:sectPr>
      </w:pPr>
    </w:p>
    <w:bookmarkStart w:id="174" w:name="page175"/>
    <w:bookmarkEnd w:id="174"/>
    <w:p>
      <w:pPr>
        <w:ind w:left="440" w:right="20" w:firstLine="421"/>
        <w:spacing w:after="0" w:line="285" w:lineRule="auto"/>
        <w:tabs>
          <w:tab w:leader="none" w:pos="1174"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Borrower is not, and to the knowledge of the Borrower, no director, officer, agent, employee or controlled affiliate of the Borrower is (i) a Person, or controlled or 50% or more owned in the aggregate by or is acting on behalf of, one or more individuals or entities that have been publicly identified as being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Her Majesty’s Treasury of the United Kingdom) or other relevant sanctions authority (collectively, “</w:t>
      </w:r>
      <w:r>
        <w:rPr>
          <w:rFonts w:ascii="Arial" w:cs="Arial" w:eastAsia="Arial" w:hAnsi="Arial"/>
          <w:sz w:val="16"/>
          <w:szCs w:val="16"/>
          <w:u w:val="single" w:color="auto"/>
          <w:color w:val="auto"/>
        </w:rPr>
        <w:t>Sanctions</w:t>
      </w:r>
      <w:r>
        <w:rPr>
          <w:rFonts w:ascii="Arial" w:cs="Arial" w:eastAsia="Arial" w:hAnsi="Arial"/>
          <w:sz w:val="16"/>
          <w:szCs w:val="16"/>
          <w:color w:val="auto"/>
        </w:rPr>
        <w:t>” and such persons, “</w:t>
      </w:r>
      <w:r>
        <w:rPr>
          <w:rFonts w:ascii="Arial" w:cs="Arial" w:eastAsia="Arial" w:hAnsi="Arial"/>
          <w:sz w:val="16"/>
          <w:szCs w:val="16"/>
          <w:u w:val="single" w:color="auto"/>
          <w:color w:val="auto"/>
        </w:rPr>
        <w:t>Sanctioned Persons</w:t>
      </w:r>
      <w:r>
        <w:rPr>
          <w:rFonts w:ascii="Arial" w:cs="Arial" w:eastAsia="Arial" w:hAnsi="Arial"/>
          <w:sz w:val="16"/>
          <w:szCs w:val="16"/>
          <w:color w:val="auto"/>
        </w:rPr>
        <w:t>” and each such person, a “</w:t>
      </w:r>
      <w:r>
        <w:rPr>
          <w:rFonts w:ascii="Arial" w:cs="Arial" w:eastAsia="Arial" w:hAnsi="Arial"/>
          <w:sz w:val="16"/>
          <w:szCs w:val="16"/>
          <w:u w:val="single" w:color="auto"/>
          <w:color w:val="auto"/>
        </w:rPr>
        <w:t>Sanctioned Person</w:t>
      </w:r>
      <w:r>
        <w:rPr>
          <w:rFonts w:ascii="Arial" w:cs="Arial" w:eastAsia="Arial" w:hAnsi="Arial"/>
          <w:sz w:val="16"/>
          <w:szCs w:val="16"/>
          <w:color w:val="auto"/>
        </w:rPr>
        <w:t>”), or (ii) located, organized or resident in a country or territory that is, or whose government is, the subject of Sanctions that broadly prohibit dealings with that country or territory (collectively, “</w:t>
      </w:r>
      <w:r>
        <w:rPr>
          <w:rFonts w:ascii="Arial" w:cs="Arial" w:eastAsia="Arial" w:hAnsi="Arial"/>
          <w:sz w:val="16"/>
          <w:szCs w:val="16"/>
          <w:u w:val="single" w:color="auto"/>
          <w:color w:val="auto"/>
        </w:rPr>
        <w:t>Sanctioned Countries</w:t>
      </w:r>
      <w:r>
        <w:rPr>
          <w:rFonts w:ascii="Arial" w:cs="Arial" w:eastAsia="Arial" w:hAnsi="Arial"/>
          <w:sz w:val="16"/>
          <w:szCs w:val="16"/>
          <w:color w:val="auto"/>
        </w:rPr>
        <w:t>” and 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The Borrower will not, directly or indirectly, use the proceeds of the Advances, or lend, contribute or otherwise make available such proceeds to any Subsidiary, joint venture partner or other individual or entity in any manner that would result in a violation of any Sanctions by, or could reasonably be expected to result in the imposition of Sanctions against, any individual or entity (including any Secured Party).</w:t>
      </w:r>
    </w:p>
    <w:p>
      <w:pPr>
        <w:spacing w:after="0" w:line="65" w:lineRule="exact"/>
        <w:rPr>
          <w:rFonts w:ascii="Arial" w:cs="Arial" w:eastAsia="Arial" w:hAnsi="Arial"/>
          <w:sz w:val="16"/>
          <w:szCs w:val="16"/>
          <w:color w:val="auto"/>
        </w:rPr>
      </w:pPr>
    </w:p>
    <w:p>
      <w:pPr>
        <w:ind w:left="440" w:right="100" w:firstLine="421"/>
        <w:spacing w:after="0" w:line="262" w:lineRule="auto"/>
        <w:tabs>
          <w:tab w:leader="none" w:pos="11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has not engaged in any dealings or transactions with or for the benefit of a Sanctioned Person, or with or in a Sanctioned Country, in the preceding three years, nor does the Borrower have any plans to engage in dealings or transactions with or for the benefit of a Sanctioned Person, or with or in a Sanctioned Country.</w:t>
      </w:r>
    </w:p>
    <w:p>
      <w:pPr>
        <w:spacing w:after="0" w:line="74" w:lineRule="exact"/>
        <w:rPr>
          <w:rFonts w:ascii="Arial" w:cs="Arial" w:eastAsia="Arial" w:hAnsi="Arial"/>
          <w:sz w:val="18"/>
          <w:szCs w:val="18"/>
          <w:color w:val="auto"/>
        </w:rPr>
      </w:pPr>
    </w:p>
    <w:p>
      <w:pPr>
        <w:ind w:right="520" w:firstLine="989"/>
        <w:spacing w:after="0" w:line="275" w:lineRule="auto"/>
        <w:tabs>
          <w:tab w:leader="none" w:pos="127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Beneficial Ownership Certificate</w:t>
      </w:r>
      <w:r>
        <w:rPr>
          <w:rFonts w:ascii="Arial" w:cs="Arial" w:eastAsia="Arial" w:hAnsi="Arial"/>
          <w:sz w:val="18"/>
          <w:szCs w:val="18"/>
          <w:color w:val="auto"/>
        </w:rPr>
        <w:t xml:space="preserve">. As of the Ninth Amendment Effective Date, to the extent required to be delivered pursuant to </w:t>
      </w:r>
      <w:r>
        <w:rPr>
          <w:rFonts w:ascii="Arial" w:cs="Arial" w:eastAsia="Arial" w:hAnsi="Arial"/>
          <w:sz w:val="18"/>
          <w:szCs w:val="18"/>
          <w:u w:val="single" w:color="auto"/>
          <w:color w:val="auto"/>
        </w:rPr>
        <w:t>Section 3.02(g)</w:t>
      </w:r>
      <w:r>
        <w:rPr>
          <w:rFonts w:ascii="Arial" w:cs="Arial" w:eastAsia="Arial" w:hAnsi="Arial"/>
          <w:sz w:val="18"/>
          <w:szCs w:val="18"/>
          <w:color w:val="auto"/>
        </w:rPr>
        <w:t>, the information included in the Beneficial Ownership Certification is true and correct in all respects.</w:t>
      </w:r>
    </w:p>
    <w:p>
      <w:pPr>
        <w:spacing w:after="0" w:line="171" w:lineRule="exact"/>
        <w:rPr>
          <w:sz w:val="20"/>
          <w:szCs w:val="20"/>
          <w:color w:val="auto"/>
        </w:rPr>
      </w:pPr>
    </w:p>
    <w:p>
      <w:pPr>
        <w:jc w:val="both"/>
        <w:ind w:right="160" w:firstLine="987"/>
        <w:spacing w:after="0" w:line="300"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Representations and Warranties of the Borrower Relating to the Agreement and the Collateral Portfolio</w:t>
      </w:r>
      <w:r>
        <w:rPr>
          <w:rFonts w:ascii="Arial" w:cs="Arial" w:eastAsia="Arial" w:hAnsi="Arial"/>
          <w:sz w:val="16"/>
          <w:szCs w:val="16"/>
          <w:color w:val="auto"/>
        </w:rPr>
        <w:t xml:space="preserve">. The Borrower (and the Servicer, with respect to </w:t>
      </w:r>
      <w:r>
        <w:rPr>
          <w:rFonts w:ascii="Arial" w:cs="Arial" w:eastAsia="Arial" w:hAnsi="Arial"/>
          <w:sz w:val="16"/>
          <w:szCs w:val="16"/>
          <w:u w:val="single" w:color="auto"/>
          <w:color w:val="auto"/>
        </w:rPr>
        <w:t>clauses (b)(ii)</w:t>
      </w:r>
      <w:r>
        <w:rPr>
          <w:rFonts w:ascii="Arial" w:cs="Arial" w:eastAsia="Arial" w:hAnsi="Arial"/>
          <w:sz w:val="16"/>
          <w:szCs w:val="16"/>
          <w:color w:val="auto"/>
        </w:rPr>
        <w:t xml:space="preserve"> below) hereby represent and warrant, as of the Closing Date, as of each applicable Cut-Off Date, as of each applicable Advance Date, as of each Reporting Date and any date which Loan Assets are Pledged hereunder and as of each other date provided under this Agreement or the other Transaction Documents on which such representations and warranties are required to be (or deemed to be) made:</w:t>
      </w:r>
    </w:p>
    <w:p>
      <w:pPr>
        <w:spacing w:after="0" w:line="48" w:lineRule="exact"/>
        <w:rPr>
          <w:sz w:val="20"/>
          <w:szCs w:val="20"/>
          <w:color w:val="auto"/>
        </w:rPr>
      </w:pPr>
    </w:p>
    <w:p>
      <w:pPr>
        <w:ind w:firstLine="989"/>
        <w:spacing w:after="0" w:line="270" w:lineRule="auto"/>
        <w:tabs>
          <w:tab w:leader="none" w:pos="123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Valid Transfer and Security Interest</w:t>
      </w:r>
      <w:r>
        <w:rPr>
          <w:rFonts w:ascii="Arial" w:cs="Arial" w:eastAsia="Arial" w:hAnsi="Arial"/>
          <w:sz w:val="17"/>
          <w:szCs w:val="17"/>
          <w:color w:val="auto"/>
        </w:rPr>
        <w:t>. This Agreement constitutes a grant of a security interest in all of the Collateral Portfolio to the Collateral Agent, for the benefit of the Secured Parties, which upon the delivery of the Required Loan Documents to the Collateral Custodian, the crediting of Loan Assets to the Collection Account and the filing of the financing statements, shall be a valid and first priority perfected security interest in the Loan Assets forming a part of the Collateral Portfolio and in that portion of the Loan Assets in which a security interest may be perfected by filing a UCC financing statement subject only to Permitted Liens. Neither the Borrower nor any Person claiming through or under Borrower shall have any claim to or interest in the Collection Account and, if this Agreement constitutes the grant of a security interest in such property, except for the interest of the Borrower in such property as a debtor for purposes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40"/>
          </w:cols>
          <w:pgMar w:left="460" w:top="273" w:right="499" w:bottom="1440" w:gutter="0" w:footer="0" w:header="0"/>
        </w:sectPr>
      </w:pPr>
    </w:p>
    <w:bookmarkStart w:id="175" w:name="page176"/>
    <w:bookmarkEnd w:id="175"/>
    <w:p>
      <w:pPr>
        <w:ind w:right="240"/>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of the UCC. The Collection Account Agreement, together with this Agreement, grants to the Collateral Agent for the benefit of the Secured Parties a first priority perfected security interest in the Collection Account. The URCA Account Agreement, together with this Agreement, grants to the Collateral Agent for the benefit of the Secured Parties a first priority perfected security interest in the URCA Account.</w:t>
      </w:r>
    </w:p>
    <w:p>
      <w:pPr>
        <w:spacing w:after="0" w:line="59" w:lineRule="exact"/>
        <w:rPr>
          <w:sz w:val="20"/>
          <w:szCs w:val="20"/>
          <w:color w:val="auto"/>
        </w:rPr>
      </w:pPr>
    </w:p>
    <w:p>
      <w:pPr>
        <w:ind w:right="100" w:firstLine="989"/>
        <w:spacing w:after="0" w:line="285" w:lineRule="auto"/>
        <w:tabs>
          <w:tab w:leader="none" w:pos="1240"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Eligibility of Collateral Portfolio</w:t>
      </w:r>
      <w:r>
        <w:rPr>
          <w:rFonts w:ascii="Arial" w:cs="Arial" w:eastAsia="Arial" w:hAnsi="Arial"/>
          <w:sz w:val="16"/>
          <w:szCs w:val="16"/>
          <w:color w:val="auto"/>
        </w:rPr>
        <w:t xml:space="preserve">. (i) The Loan Asset Schedule and the information contained in each Notice of Borrowing, is an accurate and complete listing of all the Loan Assets contained in the Collateral Portfolio as of the related Cut-Off Date and the information contained therein with respect to the identity of such item of Collateral Portfolio and the amounts owing thereunder is true and correct as of the related Cut-Off Date, (ii) each Loan Asset designated on any Borrowing Base Certificate as an Eligible Loan Asset and each Loan Asset included as an Eligible Loan Asset in any calculation of Borrowing Base, Borrowing Base Deficiency or Foreign Currency Excess Exposure is an Eligible Loan Asset and (iii) with respect to each item of Collateral Portfolio, all consents, licenses, approvals or authorizations of or registrations or declarations of any Governmental Authority or any Person required to be obtained, effected or given by the Borrower in connection with the transfer of a security interest in each item of Collateral Portfolio to the Collateral Agent, for the benefit of the Secured Parties, have been duly obtained, effected or given and are in full force and effect. For the avoidance of doubt, any inaccurate representation that a Loan Asset is an Eligible Loan Asset hereunder or under the Contribution Agreement shall not constitute an Event of Default if the Borrower complies with </w:t>
      </w:r>
      <w:r>
        <w:rPr>
          <w:rFonts w:ascii="Arial" w:cs="Arial" w:eastAsia="Arial" w:hAnsi="Arial"/>
          <w:sz w:val="16"/>
          <w:szCs w:val="16"/>
          <w:u w:val="single" w:color="auto"/>
          <w:color w:val="auto"/>
        </w:rPr>
        <w:t>Section 2.07(e)</w:t>
      </w:r>
      <w:r>
        <w:rPr>
          <w:rFonts w:ascii="Arial" w:cs="Arial" w:eastAsia="Arial" w:hAnsi="Arial"/>
          <w:sz w:val="16"/>
          <w:szCs w:val="16"/>
          <w:color w:val="auto"/>
        </w:rPr>
        <w:t xml:space="preserve"> hereunder and the Transferor complies with Section 6.1 of the Contribution Agreement (subject to the grace period set forth in such provisions);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Loan Asset will not be included in the calculation of the Borrowing Base during such grace period.</w:t>
      </w:r>
    </w:p>
    <w:p>
      <w:pPr>
        <w:spacing w:after="0" w:line="65" w:lineRule="exact"/>
        <w:rPr>
          <w:rFonts w:ascii="Arial" w:cs="Arial" w:eastAsia="Arial" w:hAnsi="Arial"/>
          <w:sz w:val="16"/>
          <w:szCs w:val="16"/>
          <w:color w:val="auto"/>
        </w:rPr>
      </w:pPr>
    </w:p>
    <w:p>
      <w:pPr>
        <w:ind w:right="80" w:firstLine="989"/>
        <w:spacing w:after="0" w:line="275" w:lineRule="auto"/>
        <w:tabs>
          <w:tab w:leader="none" w:pos="123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 Fraud</w:t>
      </w:r>
      <w:r>
        <w:rPr>
          <w:rFonts w:ascii="Arial" w:cs="Arial" w:eastAsia="Arial" w:hAnsi="Arial"/>
          <w:sz w:val="18"/>
          <w:szCs w:val="18"/>
          <w:color w:val="auto"/>
        </w:rPr>
        <w:t>. Each Loan Asset was originated without any fraud or misrepresentation by the Transferor or the Borrower or, to the best of the Borrower’s knowledge, on the part of the Obligor.</w:t>
      </w:r>
    </w:p>
    <w:p>
      <w:pPr>
        <w:spacing w:after="0" w:line="171" w:lineRule="exact"/>
        <w:rPr>
          <w:sz w:val="20"/>
          <w:szCs w:val="20"/>
          <w:color w:val="auto"/>
        </w:rPr>
      </w:pPr>
    </w:p>
    <w:p>
      <w:pPr>
        <w:ind w:right="120" w:firstLine="987"/>
        <w:spacing w:after="0" w:line="258"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Representations and Warranties of the Servicer</w:t>
      </w:r>
      <w:r>
        <w:rPr>
          <w:rFonts w:ascii="Arial" w:cs="Arial" w:eastAsia="Arial" w:hAnsi="Arial"/>
          <w:sz w:val="18"/>
          <w:szCs w:val="18"/>
          <w:color w:val="auto"/>
        </w:rPr>
        <w:t>. The Servicer hereby represents and warrants, as of the Closing Date, as of each applicable Cut-Off Date, as of each applicable Advance Date, as of each Reporting Date and as of each other date provided under this Agreement or the other Transaction Documents on which such representations and warranties are required to be (or deemed to be) made (unless a specific date is specified below):</w:t>
      </w:r>
    </w:p>
    <w:p>
      <w:pPr>
        <w:spacing w:after="0" w:line="77" w:lineRule="exact"/>
        <w:rPr>
          <w:sz w:val="20"/>
          <w:szCs w:val="20"/>
          <w:color w:val="auto"/>
        </w:rPr>
      </w:pPr>
    </w:p>
    <w:p>
      <w:pPr>
        <w:ind w:firstLine="989"/>
        <w:spacing w:after="0" w:line="258" w:lineRule="auto"/>
        <w:tabs>
          <w:tab w:leader="none" w:pos="123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The Servicer is a corporation duly incorporated, validly existing and in good standing under the laws of the State of Maryland (except as such jurisdiction is changed as permitted hereunder), with all requisite corporate power and authority necessary to own or lease its properties and to conduct its business as such business is presently conducted and to enter into and perform its obligations pursuant to this Agreement.</w:t>
      </w:r>
    </w:p>
    <w:p>
      <w:pPr>
        <w:spacing w:after="0" w:line="77" w:lineRule="exact"/>
        <w:rPr>
          <w:rFonts w:ascii="Arial" w:cs="Arial" w:eastAsia="Arial" w:hAnsi="Arial"/>
          <w:sz w:val="18"/>
          <w:szCs w:val="18"/>
          <w:color w:val="auto"/>
        </w:rPr>
      </w:pPr>
    </w:p>
    <w:p>
      <w:pPr>
        <w:ind w:firstLine="989"/>
        <w:spacing w:after="0" w:line="258" w:lineRule="auto"/>
        <w:tabs>
          <w:tab w:leader="none" w:pos="124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Due Qualification</w:t>
      </w:r>
      <w:r>
        <w:rPr>
          <w:rFonts w:ascii="Arial" w:cs="Arial" w:eastAsia="Arial" w:hAnsi="Arial"/>
          <w:sz w:val="18"/>
          <w:szCs w:val="18"/>
          <w:color w:val="auto"/>
        </w:rPr>
        <w:t>. The Servicer is duly qualified to do business as a corporation, and has obtained all necessary licenses and approvals in the State of New York and in all other jurisdictions in which the ownership or lease of its property and the conduct of its business requires such qualification, licenses or approvals, except where the failure to obtain such qualification, licenses or approvals could reasonably be expected to result in a Material Adverse Effect.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00"/>
          </w:cols>
          <w:pgMar w:left="460" w:top="273" w:right="539" w:bottom="1440" w:gutter="0" w:footer="0" w:header="0"/>
        </w:sectPr>
      </w:pPr>
    </w:p>
    <w:bookmarkStart w:id="176" w:name="page177"/>
    <w:bookmarkEnd w:id="176"/>
    <w:p>
      <w:pPr>
        <w:ind w:left="1240" w:hanging="251"/>
        <w:spacing w:after="0"/>
        <w:tabs>
          <w:tab w:leader="none" w:pos="1240"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Power and Authority; Due Authorization; Execution and Delivery</w:t>
      </w:r>
      <w:r>
        <w:rPr>
          <w:rFonts w:ascii="Arial" w:cs="Arial" w:eastAsia="Arial" w:hAnsi="Arial"/>
          <w:sz w:val="16"/>
          <w:szCs w:val="16"/>
          <w:color w:val="auto"/>
        </w:rPr>
        <w:t>. The Servicer (i) has all necessary power, authority and legal right to</w:t>
      </w:r>
    </w:p>
    <w:p>
      <w:pPr>
        <w:spacing w:after="0" w:line="45" w:lineRule="exact"/>
        <w:rPr>
          <w:rFonts w:ascii="Arial" w:cs="Arial" w:eastAsia="Arial" w:hAnsi="Arial"/>
          <w:sz w:val="16"/>
          <w:szCs w:val="16"/>
          <w:color w:val="auto"/>
        </w:rPr>
      </w:pPr>
    </w:p>
    <w:p>
      <w:pPr>
        <w:ind w:right="80" w:firstLine="2"/>
        <w:spacing w:after="0" w:line="271" w:lineRule="auto"/>
        <w:tabs>
          <w:tab w:leader="none" w:pos="25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execute and deliver this Agreement and the other Transaction Documents to which it is a party and (y) carry out the terms of this Agreement and the other Transaction Documents to which it is a party, and (ii) has duly authorized by all necessary corporate action the execution, delivery and performance of this Agreement and each of the other Transaction Documents to which it is a party. This Agreement and each other Transaction Document to which the Servicer is a party have been duly executed and delivered by the Servicer.</w:t>
      </w:r>
    </w:p>
    <w:p>
      <w:pPr>
        <w:spacing w:after="0" w:line="69" w:lineRule="exact"/>
        <w:rPr>
          <w:rFonts w:ascii="Arial" w:cs="Arial" w:eastAsia="Arial" w:hAnsi="Arial"/>
          <w:sz w:val="17"/>
          <w:szCs w:val="17"/>
          <w:color w:val="auto"/>
        </w:rPr>
      </w:pPr>
    </w:p>
    <w:p>
      <w:pPr>
        <w:ind w:right="140" w:firstLine="989"/>
        <w:spacing w:after="0" w:line="262" w:lineRule="auto"/>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Binding Obligation</w:t>
      </w:r>
      <w:r>
        <w:rPr>
          <w:rFonts w:ascii="Arial" w:cs="Arial" w:eastAsia="Arial" w:hAnsi="Arial"/>
          <w:sz w:val="18"/>
          <w:szCs w:val="18"/>
          <w:color w:val="auto"/>
        </w:rPr>
        <w:t>. This Agreement and each of the other Transaction Documents to which the Servicer is a party constitutes a legal, valid and binding obligation of the Servicer, enforceable against the Servicer in accordance with their respective terms, except as the enforceability hereof and thereof may be limited by Bankruptcy Laws and by general principles of equity.</w:t>
      </w:r>
    </w:p>
    <w:p>
      <w:pPr>
        <w:spacing w:after="0" w:line="74" w:lineRule="exact"/>
        <w:rPr>
          <w:rFonts w:ascii="Arial" w:cs="Arial" w:eastAsia="Arial" w:hAnsi="Arial"/>
          <w:sz w:val="18"/>
          <w:szCs w:val="18"/>
          <w:color w:val="auto"/>
        </w:rPr>
      </w:pPr>
    </w:p>
    <w:p>
      <w:pPr>
        <w:ind w:right="20" w:firstLine="989"/>
        <w:spacing w:after="0" w:line="254" w:lineRule="auto"/>
        <w:tabs>
          <w:tab w:leader="none" w:pos="123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delivery and performance of this Agreement and the other Transaction Documents to which it is a party and the fulfillment of the terms hereof and thereof will not (i) conflict with, result in any breach of any of the terms and provisions of, or constitute (with or without notice or lapse of time or both) a default under, the Servicer’s articles of incorporation or by-laws, (ii) result in the creation or imposition of any Lien upon any of the Servicer’s properties pursuant to the terms of any such contractual obligation, other than this Agreement, (iii) violate any Applicable Law or (iv) violate any contract or other agreement to which the Servicer is a party or by which the Servicer or any property or assets of the Servicer may be bound.</w:t>
      </w:r>
    </w:p>
    <w:p>
      <w:pPr>
        <w:spacing w:after="0" w:line="83" w:lineRule="exact"/>
        <w:rPr>
          <w:rFonts w:ascii="Arial" w:cs="Arial" w:eastAsia="Arial" w:hAnsi="Arial"/>
          <w:sz w:val="18"/>
          <w:szCs w:val="18"/>
          <w:color w:val="auto"/>
        </w:rPr>
      </w:pPr>
    </w:p>
    <w:p>
      <w:pPr>
        <w:ind w:right="100" w:firstLine="989"/>
        <w:spacing w:after="0" w:line="255" w:lineRule="auto"/>
        <w:tabs>
          <w:tab w:leader="none" w:pos="121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No Proceedings</w:t>
      </w:r>
      <w:r>
        <w:rPr>
          <w:rFonts w:ascii="Arial" w:cs="Arial" w:eastAsia="Arial" w:hAnsi="Arial"/>
          <w:sz w:val="18"/>
          <w:szCs w:val="18"/>
          <w:color w:val="auto"/>
        </w:rPr>
        <w:t>. There is no litigation, proceeding or investigation pending or, to the knowledge of the Servicer, threatened against the Servicer or any properties of the Servicer, before any Governmental Authority (i) asserting the invalidity of this Agreement or any other Transaction Document to which the Servicer is a party, (ii) seeking to prevent the consummation of any of the transactions contemplated by this Agreement or any other Transaction Document to which the Servicer is a party or (iii) seeking any determination or ruling that could reasonably be expected to have a Material Adverse Effect.</w:t>
      </w:r>
    </w:p>
    <w:p>
      <w:pPr>
        <w:spacing w:after="0" w:line="82" w:lineRule="exact"/>
        <w:rPr>
          <w:rFonts w:ascii="Arial" w:cs="Arial" w:eastAsia="Arial" w:hAnsi="Arial"/>
          <w:sz w:val="18"/>
          <w:szCs w:val="18"/>
          <w:color w:val="auto"/>
        </w:rPr>
      </w:pPr>
    </w:p>
    <w:p>
      <w:pPr>
        <w:ind w:firstLine="989"/>
        <w:spacing w:after="0" w:line="255" w:lineRule="auto"/>
        <w:tabs>
          <w:tab w:leader="none" w:pos="1240"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All Consents Required</w:t>
      </w:r>
      <w:r>
        <w:rPr>
          <w:rFonts w:ascii="Arial" w:cs="Arial" w:eastAsia="Arial" w:hAnsi="Arial"/>
          <w:sz w:val="18"/>
          <w:szCs w:val="18"/>
          <w:color w:val="auto"/>
        </w:rPr>
        <w:t>. No consent of any other party and no consent, license, approval or authorization of, or registration or declaration with, any Governmental Authority, bureau or agency is required in connection with the execution, delivery or performance by the Servicer of this Agreement or any other Transaction Document to which it is a party or the validity or enforceability of this Agreement or any such Transaction Document or the Loan Assets or the transfer of an ownership interest or security interest in such Loan Assets, other than such as have been met or obtained and are in full force and effect.</w:t>
      </w:r>
    </w:p>
    <w:p>
      <w:pPr>
        <w:spacing w:after="0" w:line="82" w:lineRule="exact"/>
        <w:rPr>
          <w:rFonts w:ascii="Arial" w:cs="Arial" w:eastAsia="Arial" w:hAnsi="Arial"/>
          <w:sz w:val="18"/>
          <w:szCs w:val="18"/>
          <w:color w:val="auto"/>
        </w:rPr>
      </w:pPr>
    </w:p>
    <w:p>
      <w:pPr>
        <w:ind w:right="80" w:firstLine="989"/>
        <w:spacing w:after="0" w:line="277" w:lineRule="auto"/>
        <w:tabs>
          <w:tab w:leader="none" w:pos="1240"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Reports Accurate</w:t>
      </w:r>
      <w:r>
        <w:rPr>
          <w:rFonts w:ascii="Arial" w:cs="Arial" w:eastAsia="Arial" w:hAnsi="Arial"/>
          <w:sz w:val="17"/>
          <w:szCs w:val="17"/>
          <w:color w:val="auto"/>
        </w:rPr>
        <w:t>. All Servicer’s Certificates, Servicing Reports (with respect to information prepared or supplied by the Borrower or the Servicer), Notices of Borrowing, Borrowing Base Certificates and other written or electronic information, exhibits, financial statements, documents, books, records or reports furnished by the Servicer to the Administrative Agent, the Collateral Agent or the Collateral Custodian in connection with this Agreement are, as of their date, accurate, true and correct, and no such document or certificate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460" w:top="273" w:right="479" w:bottom="1440" w:gutter="0" w:footer="0" w:header="0"/>
        </w:sectPr>
      </w:pPr>
    </w:p>
    <w:bookmarkStart w:id="177" w:name="page178"/>
    <w:bookmarkEnd w:id="177"/>
    <w:p>
      <w:pP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contains any material misstatement of fact or omits to state a material fact or any fact necessary to make the statements contained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solely with respect to written or electronic information furnished by the Servicer that was provided to the Servicer from an Obligor with respect to a Loan Asset, such information is accurate, true and correct to the best knowledge of the Servicer. Each Loan Asset designated on any Servicing Report as an Eligible Loan Asset and each Loan Asset included as an Eligible Loan Asset in any calculation of Borrowing Base, Borrowing Base Deficiency and Foreign Currency Excess Exposure in any Servicing Report is an Eligible Loan Asset.</w:t>
      </w:r>
    </w:p>
    <w:p>
      <w:pPr>
        <w:spacing w:after="0" w:line="67" w:lineRule="exact"/>
        <w:rPr>
          <w:sz w:val="20"/>
          <w:szCs w:val="20"/>
          <w:color w:val="auto"/>
        </w:rPr>
      </w:pPr>
    </w:p>
    <w:p>
      <w:pPr>
        <w:ind w:right="20" w:firstLine="989"/>
        <w:spacing w:after="0" w:line="275" w:lineRule="auto"/>
        <w:tabs>
          <w:tab w:leader="none" w:pos="1201"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Servicing Standard</w:t>
      </w:r>
      <w:r>
        <w:rPr>
          <w:rFonts w:ascii="Arial" w:cs="Arial" w:eastAsia="Arial" w:hAnsi="Arial"/>
          <w:sz w:val="18"/>
          <w:szCs w:val="18"/>
          <w:color w:val="auto"/>
        </w:rPr>
        <w:t>. The Servicer has complied in all material respects with the Credit and Collection Policy and the Servicing Standard with regard to the servicing of the Loan Assets.</w:t>
      </w:r>
    </w:p>
    <w:p>
      <w:pPr>
        <w:spacing w:after="0" w:line="63" w:lineRule="exact"/>
        <w:rPr>
          <w:rFonts w:ascii="Arial" w:cs="Arial" w:eastAsia="Arial" w:hAnsi="Arial"/>
          <w:sz w:val="18"/>
          <w:szCs w:val="18"/>
          <w:color w:val="auto"/>
        </w:rPr>
      </w:pPr>
    </w:p>
    <w:p>
      <w:pPr>
        <w:ind w:right="340" w:firstLine="989"/>
        <w:spacing w:after="0" w:line="310" w:lineRule="auto"/>
        <w:tabs>
          <w:tab w:leader="none" w:pos="1201"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Collections</w:t>
      </w:r>
      <w:r>
        <w:rPr>
          <w:rFonts w:ascii="Arial" w:cs="Arial" w:eastAsia="Arial" w:hAnsi="Arial"/>
          <w:sz w:val="16"/>
          <w:szCs w:val="16"/>
          <w:color w:val="auto"/>
        </w:rPr>
        <w:t>. The Servicer acknowledges that all Available Collections received by it or its Affiliates with respect to the Collateral Portfolio transferred or Pledged hereunder are held and shall be held in trust for the benefit of the Collateral Agent, on behalf of the Secured Parties, until deposited into the Collection Account as promptly as possible and in any event within two Business Days from receipt as required herein.</w:t>
      </w:r>
    </w:p>
    <w:p>
      <w:pPr>
        <w:spacing w:after="0" w:line="39" w:lineRule="exact"/>
        <w:rPr>
          <w:rFonts w:ascii="Arial" w:cs="Arial" w:eastAsia="Arial" w:hAnsi="Arial"/>
          <w:sz w:val="16"/>
          <w:szCs w:val="16"/>
          <w:color w:val="auto"/>
        </w:rPr>
      </w:pPr>
    </w:p>
    <w:p>
      <w:pPr>
        <w:ind w:right="60" w:firstLine="989"/>
        <w:spacing w:after="0" w:line="275"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Bulk Sales</w:t>
      </w:r>
      <w:r>
        <w:rPr>
          <w:rFonts w:ascii="Arial" w:cs="Arial" w:eastAsia="Arial" w:hAnsi="Arial"/>
          <w:sz w:val="18"/>
          <w:szCs w:val="18"/>
          <w:color w:val="auto"/>
        </w:rPr>
        <w:t>. The execution, delivery and performance of this Agreement is in the ordinary course of business for the Servicer and is not subject to the bulk transfer or any similar statutory provisions in effect in any applicable jurisdiction.</w:t>
      </w:r>
    </w:p>
    <w:p>
      <w:pPr>
        <w:spacing w:after="0" w:line="63" w:lineRule="exact"/>
        <w:rPr>
          <w:rFonts w:ascii="Arial" w:cs="Arial" w:eastAsia="Arial" w:hAnsi="Arial"/>
          <w:sz w:val="18"/>
          <w:szCs w:val="18"/>
          <w:color w:val="auto"/>
        </w:rPr>
      </w:pPr>
    </w:p>
    <w:p>
      <w:pPr>
        <w:ind w:right="80" w:firstLine="989"/>
        <w:spacing w:after="0" w:line="305" w:lineRule="auto"/>
        <w:tabs>
          <w:tab w:leader="none" w:pos="1201"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The Servicer is Solvent and not the subject of any Bankruptcy Proceedings or Bankruptcy Event. The transactions under this Agreement and any other Transaction Document to which the Servicer is a party do not and will not render the Servicer not Solvent.</w:t>
      </w:r>
    </w:p>
    <w:p>
      <w:pPr>
        <w:spacing w:after="0" w:line="40" w:lineRule="exact"/>
        <w:rPr>
          <w:rFonts w:ascii="Arial" w:cs="Arial" w:eastAsia="Arial" w:hAnsi="Arial"/>
          <w:sz w:val="17"/>
          <w:szCs w:val="17"/>
          <w:color w:val="auto"/>
        </w:rPr>
      </w:pPr>
    </w:p>
    <w:p>
      <w:pPr>
        <w:ind w:right="40" w:firstLine="989"/>
        <w:spacing w:after="0" w:line="292" w:lineRule="auto"/>
        <w:tabs>
          <w:tab w:leader="none" w:pos="129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Servicer has filed or caused to be filed (on a consolidated basis or otherwise) on a timely basis all material tax returns (including, without limitation, all foreign, federal, state, local and other tax returns) required to be filed by it (subject to any extensions to file properly obtained by the same). The Servicer has paid or made adequate provisions for the payment of all material Taxes, assessments and other governmental charges due made against it or any of its property except for those Taxes being contested in good faith by appropriate proceedings and in respect of which it has established proper reserves in accordance with GAAP on the books of the Servicer. No Tax lien or similar adverse claim has been filed and, to the Servicer’s knowledge, no claim is being asserted, with respect to any such Tax, assessment or other governmental charge.</w:t>
      </w:r>
    </w:p>
    <w:p>
      <w:pPr>
        <w:spacing w:after="0" w:line="54" w:lineRule="exact"/>
        <w:rPr>
          <w:rFonts w:ascii="Arial" w:cs="Arial" w:eastAsia="Arial" w:hAnsi="Arial"/>
          <w:sz w:val="16"/>
          <w:szCs w:val="16"/>
          <w:color w:val="auto"/>
        </w:rPr>
      </w:pPr>
    </w:p>
    <w:p>
      <w:pPr>
        <w:ind w:right="60" w:firstLine="989"/>
        <w:spacing w:after="0" w:line="258" w:lineRule="auto"/>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Exchange Act Compliance; Regulations T, U and X</w:t>
      </w:r>
      <w:r>
        <w:rPr>
          <w:rFonts w:ascii="Arial" w:cs="Arial" w:eastAsia="Arial" w:hAnsi="Arial"/>
          <w:sz w:val="18"/>
          <w:szCs w:val="18"/>
          <w:color w:val="auto"/>
        </w:rPr>
        <w:t>. None of the transactions contemplated herein or the other Transaction Documents (including, without limitation, the use of the Proceeds from the sale of the Collateral Portfolio) will violate or result in a violation of Section 7 of the Exchange Act, or any regulations issued pursuant thereto, including, without limitation, Regulations T, U and X of the Board of Governors of the Federal Reserve System, 12 C.F.R., Chapter II.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60"/>
          </w:cols>
          <w:pgMar w:left="460" w:top="273" w:right="479" w:bottom="1440" w:gutter="0" w:footer="0" w:header="0"/>
        </w:sectPr>
      </w:pPr>
    </w:p>
    <w:bookmarkStart w:id="178" w:name="page179"/>
    <w:bookmarkEnd w:id="178"/>
    <w:p>
      <w:pPr>
        <w:ind w:left="-20" w:firstLine="989"/>
        <w:spacing w:after="0" w:line="288" w:lineRule="auto"/>
        <w:tabs>
          <w:tab w:leader="none" w:pos="12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Security Interest</w:t>
      </w:r>
      <w:r>
        <w:rPr>
          <w:rFonts w:ascii="Arial" w:cs="Arial" w:eastAsia="Arial" w:hAnsi="Arial"/>
          <w:sz w:val="16"/>
          <w:szCs w:val="16"/>
          <w:color w:val="auto"/>
        </w:rPr>
        <w:t>. The Servicer has taken and will take all steps necessary to ensure that the Borrower has granted and will maintain a security interest (as defined in the UCC) to the Collateral Agent, for the benefit of the Secured Parties, in the Collateral Portfolio, which is enforceable in accordance with Applicable Law upon execution and delivery of this Agreement prior to all other Liens other than Permitted Liens. Upon the filing of UCC-1 financing statements naming the Collateral Agent as secured party and the Borrower as debtor, the Collateral Agent, for the benefit of the Secured Parties, shall have a valid and first priority perfected security interest in the Loan Assets and that portion of the Collateral Portfolio in which a security interest may be perfected by filing a financing statement (except for any Permitted Liens). All filings (including, without limitation, such UCC filings) as are necessary for the perfection of the Secured Parties’ security interest in the Loan Assets and that portion of the Collateral Portfolio in which a security interest may be perfected by filing have been (or prior to the applicable Advance will be) made.</w:t>
      </w:r>
    </w:p>
    <w:p>
      <w:pPr>
        <w:spacing w:after="0" w:line="61" w:lineRule="exact"/>
        <w:rPr>
          <w:rFonts w:ascii="Arial" w:cs="Arial" w:eastAsia="Arial" w:hAnsi="Arial"/>
          <w:sz w:val="16"/>
          <w:szCs w:val="16"/>
          <w:color w:val="auto"/>
        </w:rPr>
      </w:pPr>
    </w:p>
    <w:p>
      <w:pPr>
        <w:ind w:left="-20" w:right="20" w:firstLine="989"/>
        <w:spacing w:after="0" w:line="284" w:lineRule="auto"/>
        <w:tabs>
          <w:tab w:leader="none" w:pos="12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The present value of all vested benefits under each “employee pension benefit plan” as such term is defined in Section 3(2) of ERISA, other than a Multiemployer Plan, that is subject to Title IV of ERISA and is sponsored or maintained by the Servicer or any ERISA Affiliate of the Servicer or to which the Servicer or any ERISA Affiliate of the Servicer contributes or has an obligation to contribute, or has any liability (each, a “</w:t>
      </w:r>
      <w:r>
        <w:rPr>
          <w:rFonts w:ascii="Arial" w:cs="Arial" w:eastAsia="Arial" w:hAnsi="Arial"/>
          <w:sz w:val="16"/>
          <w:szCs w:val="16"/>
          <w:u w:val="single" w:color="auto"/>
          <w:color w:val="auto"/>
        </w:rPr>
        <w:t>Servicer Pension Plan</w:t>
      </w:r>
      <w:r>
        <w:rPr>
          <w:rFonts w:ascii="Arial" w:cs="Arial" w:eastAsia="Arial" w:hAnsi="Arial"/>
          <w:sz w:val="16"/>
          <w:szCs w:val="16"/>
          <w:color w:val="auto"/>
        </w:rPr>
        <w:t>”) does not exceed the value of the assets of the Servicer Pension Plan allocable to such vested benefits (based on the value of such assets as of the last annual valuation date for the Servicer Pension Plan) determined in accordance with the assumptions used for funding such Servicer Pension Plan pursuant to Sections 412 and 430 of the Code for the applicable plan year. No prohibited transactions (within the meaning of ERISA Section 406(a) or (b) or Code Section 4975, for which an exemption is not available or has not previously been obtained from the United States Department of Labor), failure by the Servicer to meet the minimum funding standard set forth in Section 302(a) of ERISA and Section 412(a) of the Code, withdrawal by the Servicer or any ERISA Affiliate of the Servicer from a Servicer Pension Plan subject to Section 4063 of ERISA during a plan year in which it was a “substantial employer” (as defined in Section 4001(a)(2) of ERISA) or cessation of operations that is treated as such a withdrawal under Section 4062(e) of ERISA, or Reportable Events have occurred with respect to any Servicer Pension Plan. No notice of intent to terminate a Servicer Pension Plan has been filed by the plan administrator under Section 4041 of ERISA, nor has any Servicer Pension Plan been terminated under Section 4041 of ERISA, nor has the Pension Benefit Guaranty Corporation instituted proceedings to terminate or appointed a trustee to administer a Servicer Pension Plan under Section 4042 of ERISA, and no event has occurred or condition exists which constitutes grounds under Section 4042 of ERISA for the termination of, or the appointment of a trustee to administer, any Servicer Pension Plan.</w:t>
      </w:r>
    </w:p>
    <w:p>
      <w:pPr>
        <w:spacing w:after="0" w:line="66" w:lineRule="exact"/>
        <w:rPr>
          <w:rFonts w:ascii="Arial" w:cs="Arial" w:eastAsia="Arial" w:hAnsi="Arial"/>
          <w:sz w:val="16"/>
          <w:szCs w:val="16"/>
          <w:color w:val="auto"/>
        </w:rPr>
      </w:pPr>
    </w:p>
    <w:p>
      <w:pPr>
        <w:ind w:left="-20" w:right="40" w:firstLine="989"/>
        <w:spacing w:after="0" w:line="290" w:lineRule="auto"/>
        <w:tabs>
          <w:tab w:leader="none" w:pos="122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Neither the Servicer nor any Affiliate of the Servicer is (i) a country, territory, organization, person or entity named on an Office of Foreign Asset Control (OFAC) list; (ii) a Person that resides or has a place of business in a country or territory named on such lists or which is designated as a “Non-Cooperative Jurisdiction” by the Financial Action Task Force on Money Laundering, or whose subscription funds are transferred from or through such a jurisdiction; (iii) a “</w:t>
      </w:r>
      <w:r>
        <w:rPr>
          <w:rFonts w:ascii="Arial" w:cs="Arial" w:eastAsia="Arial" w:hAnsi="Arial"/>
          <w:sz w:val="16"/>
          <w:szCs w:val="16"/>
          <w:u w:val="single" w:color="auto"/>
          <w:color w:val="auto"/>
        </w:rPr>
        <w:t>Foreign Shell Bank</w:t>
      </w:r>
      <w:r>
        <w:rPr>
          <w:rFonts w:ascii="Arial" w:cs="Arial" w:eastAsia="Arial" w:hAnsi="Arial"/>
          <w:sz w:val="16"/>
          <w:szCs w:val="16"/>
          <w:color w:val="auto"/>
        </w:rPr>
        <w:t>” within the meaning of the USA PATRIOT Act, i.e., a foreign bank that does not have a physical presence in any country and that is not affiliated with a bank that has a physical presence and an acceptable level of regulation and supervision; or (iv) a person or entity that resides in or is organized under the laws of a jurisdiction designated by the United States Secretary of the Treasury under Sections 311 or 312 of the USA PATRIOT Act as warranting special measures due to money laundering concerns.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20"/>
          </w:cols>
          <w:pgMar w:left="480" w:top="273" w:right="499" w:bottom="1440" w:gutter="0" w:footer="0" w:header="0"/>
        </w:sectPr>
      </w:pPr>
    </w:p>
    <w:bookmarkStart w:id="179" w:name="page180"/>
    <w:bookmarkEnd w:id="179"/>
    <w:p>
      <w:pPr>
        <w:ind w:left="-20" w:right="20" w:firstLine="989"/>
        <w:spacing w:after="0" w:line="287" w:lineRule="auto"/>
        <w:tabs>
          <w:tab w:leader="none" w:pos="1190"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Environmental</w:t>
      </w:r>
      <w:r>
        <w:rPr>
          <w:rFonts w:ascii="Arial" w:cs="Arial" w:eastAsia="Arial" w:hAnsi="Arial"/>
          <w:sz w:val="16"/>
          <w:szCs w:val="16"/>
          <w:color w:val="auto"/>
        </w:rPr>
        <w:t>. With respect to each item of Underlying Collateral as of the applicable Cut-Off Date for the Loan Asset related to such Underlying Collateral, to the actual knowledge of a Responsible Officer of the Servicer: (a) the related Obligor’s operations comply in all material respects with all applicable Environmental Laws; (b) none of the related Obligor’s operations is the subject of a Federal or state investigation evaluating whether any remedial action, involving expenditures, is needed to respond to a release of any Hazardous Materials into the environment; and (c) the related Obligor does not have any material contingent liability in connection with any release of any Hazardous Materials into the environment. As of the applicable Cut-Off Date for the Loan Asset related to such Underlying Collateral, none of the Borrower, the Transferor nor the Servicer has received any written or verbal notice of, or inquiry from any Governmental Authority regarding, any violation, alleged violation, non-compliance, liability or potential liability regarding environmental matters or compliance with Environmental Laws with regard to any of the Underlying Collateral, nor does any such Person have knowledge or reason to believe that any such notice will be received or is being threatened.</w:t>
      </w:r>
    </w:p>
    <w:p>
      <w:pPr>
        <w:spacing w:after="0" w:line="62" w:lineRule="exact"/>
        <w:rPr>
          <w:rFonts w:ascii="Arial" w:cs="Arial" w:eastAsia="Arial" w:hAnsi="Arial"/>
          <w:sz w:val="16"/>
          <w:szCs w:val="16"/>
          <w:color w:val="auto"/>
        </w:rPr>
      </w:pPr>
    </w:p>
    <w:p>
      <w:pPr>
        <w:ind w:left="-20" w:right="260" w:firstLine="989"/>
        <w:spacing w:after="0" w:line="275" w:lineRule="auto"/>
        <w:tabs>
          <w:tab w:leader="none" w:pos="120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No Injunctions</w:t>
      </w:r>
      <w:r>
        <w:rPr>
          <w:rFonts w:ascii="Arial" w:cs="Arial" w:eastAsia="Arial" w:hAnsi="Arial"/>
          <w:sz w:val="18"/>
          <w:szCs w:val="18"/>
          <w:color w:val="auto"/>
        </w:rPr>
        <w:t>. No injunction, writ, restraining order or other order of any nature adversely affects the Servicer’s performance of its obligations under this Agreement or any Transaction Document to which the Servicer is a party.</w:t>
      </w:r>
    </w:p>
    <w:p>
      <w:pPr>
        <w:spacing w:after="0" w:line="63" w:lineRule="exact"/>
        <w:rPr>
          <w:rFonts w:ascii="Arial" w:cs="Arial" w:eastAsia="Arial" w:hAnsi="Arial"/>
          <w:sz w:val="18"/>
          <w:szCs w:val="18"/>
          <w:color w:val="auto"/>
        </w:rPr>
      </w:pPr>
    </w:p>
    <w:p>
      <w:pPr>
        <w:ind w:left="-20" w:right="100" w:firstLine="989"/>
        <w:spacing w:after="0" w:line="262" w:lineRule="auto"/>
        <w:tabs>
          <w:tab w:leader="none" w:pos="1181"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Instructions to Obligors</w:t>
      </w:r>
      <w:r>
        <w:rPr>
          <w:rFonts w:ascii="Arial" w:cs="Arial" w:eastAsia="Arial" w:hAnsi="Arial"/>
          <w:sz w:val="18"/>
          <w:szCs w:val="18"/>
          <w:color w:val="auto"/>
        </w:rPr>
        <w:t>. The Collection Account is the only account to which Obligors have been instructed by the Servicer on the Borrower’s behalf to send Principal Collections and Interest Collections on the Collateral Portfolio. The Servicer has not granted any Person other than the Collateral Agent, on behalf of the Secured Parties, an interest in the Collection Account</w:t>
      </w:r>
    </w:p>
    <w:p>
      <w:pPr>
        <w:spacing w:after="0" w:line="74" w:lineRule="exact"/>
        <w:rPr>
          <w:rFonts w:ascii="Arial" w:cs="Arial" w:eastAsia="Arial" w:hAnsi="Arial"/>
          <w:sz w:val="18"/>
          <w:szCs w:val="18"/>
          <w:color w:val="auto"/>
        </w:rPr>
      </w:pPr>
    </w:p>
    <w:p>
      <w:pPr>
        <w:ind w:left="-20" w:firstLine="989"/>
        <w:spacing w:after="0" w:line="258"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Allocation of Charges</w:t>
      </w:r>
      <w:r>
        <w:rPr>
          <w:rFonts w:ascii="Arial" w:cs="Arial" w:eastAsia="Arial" w:hAnsi="Arial"/>
          <w:sz w:val="18"/>
          <w:szCs w:val="18"/>
          <w:color w:val="auto"/>
        </w:rPr>
        <w:t xml:space="preserve">. There is not any agreement or understanding between the Servicer and the Borrower (other than as expressly set forth herein or as consented to by the Administrative Agent), providing for the allocation or sharing of obligations to make payments or otherwise in respect of any taxes, fees, assessments or other governmental charges;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understood and acknowledged that the Borrower will be consolidated with the Servicer for tax purposes.</w:t>
      </w:r>
    </w:p>
    <w:p>
      <w:pPr>
        <w:spacing w:after="0" w:line="77" w:lineRule="exact"/>
        <w:rPr>
          <w:rFonts w:ascii="Arial" w:cs="Arial" w:eastAsia="Arial" w:hAnsi="Arial"/>
          <w:sz w:val="18"/>
          <w:szCs w:val="18"/>
          <w:color w:val="auto"/>
        </w:rPr>
      </w:pPr>
    </w:p>
    <w:p>
      <w:pPr>
        <w:ind w:left="-20" w:right="820" w:firstLine="989"/>
        <w:spacing w:after="0" w:line="275"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Servicer Termination Event</w:t>
      </w:r>
      <w:r>
        <w:rPr>
          <w:rFonts w:ascii="Arial" w:cs="Arial" w:eastAsia="Arial" w:hAnsi="Arial"/>
          <w:sz w:val="18"/>
          <w:szCs w:val="18"/>
          <w:color w:val="auto"/>
        </w:rPr>
        <w:t>. No event has occurred which constitutes a Servicer Termination Event (other than any Servicer Termination Event which has previously been disclosed to the Administrative Agent as such).</w:t>
      </w:r>
    </w:p>
    <w:p>
      <w:pPr>
        <w:spacing w:after="0" w:line="63" w:lineRule="exact"/>
        <w:rPr>
          <w:rFonts w:ascii="Arial" w:cs="Arial" w:eastAsia="Arial" w:hAnsi="Arial"/>
          <w:sz w:val="18"/>
          <w:szCs w:val="18"/>
          <w:color w:val="auto"/>
        </w:rPr>
      </w:pPr>
    </w:p>
    <w:p>
      <w:pPr>
        <w:ind w:left="1260" w:hanging="291"/>
        <w:spacing w:after="0"/>
        <w:tabs>
          <w:tab w:leader="none" w:pos="1260" w:val="left"/>
        </w:tabs>
        <w:numPr>
          <w:ilvl w:val="0"/>
          <w:numId w:val="153"/>
        </w:numPr>
        <w:rPr>
          <w:rFonts w:ascii="Arial" w:cs="Arial" w:eastAsia="Arial" w:hAnsi="Arial"/>
          <w:sz w:val="17"/>
          <w:szCs w:val="17"/>
          <w:color w:val="auto"/>
        </w:rPr>
      </w:pPr>
      <w:r>
        <w:rPr>
          <w:rFonts w:ascii="Arial" w:cs="Arial" w:eastAsia="Arial" w:hAnsi="Arial"/>
          <w:sz w:val="17"/>
          <w:szCs w:val="17"/>
          <w:u w:val="single" w:color="auto"/>
          <w:color w:val="auto"/>
        </w:rPr>
        <w:t>Broker-Dealer</w:t>
      </w:r>
      <w:r>
        <w:rPr>
          <w:rFonts w:ascii="Arial" w:cs="Arial" w:eastAsia="Arial" w:hAnsi="Arial"/>
          <w:sz w:val="17"/>
          <w:szCs w:val="17"/>
          <w:color w:val="auto"/>
        </w:rPr>
        <w:t>. The Servicer is not a broker-dealer or subject to the Securities Investor Protection Act of 1970, as amended.</w:t>
      </w:r>
    </w:p>
    <w:p>
      <w:pPr>
        <w:spacing w:after="0" w:line="127" w:lineRule="exact"/>
        <w:rPr>
          <w:rFonts w:ascii="Arial" w:cs="Arial" w:eastAsia="Arial" w:hAnsi="Arial"/>
          <w:sz w:val="17"/>
          <w:szCs w:val="17"/>
          <w:color w:val="auto"/>
        </w:rPr>
      </w:pPr>
    </w:p>
    <w:p>
      <w:pPr>
        <w:ind w:left="-20" w:right="80" w:firstLine="989"/>
        <w:spacing w:after="0" w:line="258" w:lineRule="auto"/>
        <w:tabs>
          <w:tab w:leader="none" w:pos="122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Servicer has complied in all respects with all Applicable Law to which it may be subject, and no item in the Collateral Portfolio contravenes in any respect any Applicable Law (including, without limitation, all applicable predatory and abusive lending laws, laws, rules and regulations relating to licensing, truth in lending, fair credit billing, fair credit reporting, equal credit opportunity, fair debt collection practices and privacy).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20"/>
          </w:cols>
          <w:pgMar w:left="480" w:top="273" w:right="499" w:bottom="1440" w:gutter="0" w:footer="0" w:header="0"/>
        </w:sectPr>
      </w:pPr>
    </w:p>
    <w:bookmarkStart w:id="180" w:name="page181"/>
    <w:bookmarkEnd w:id="180"/>
    <w:p>
      <w:pPr>
        <w:ind w:right="340" w:firstLine="989"/>
        <w:spacing w:after="0" w:line="254" w:lineRule="auto"/>
        <w:tabs>
          <w:tab w:leader="none" w:pos="124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Sanctions, Anti-Money Laundering and Anti Bribery and Corruption</w:t>
      </w:r>
      <w:r>
        <w:rPr>
          <w:rFonts w:ascii="Arial" w:cs="Arial" w:eastAsia="Arial" w:hAnsi="Arial"/>
          <w:sz w:val="18"/>
          <w:szCs w:val="18"/>
          <w:color w:val="auto"/>
        </w:rPr>
        <w:t>. (i) Neither the Servicer nor any of its Subsidiaries nor, to the knowledge of the Servicer, any director, officer, agent, employee, controlled affiliate or other person acting on behalf of the Servicer or any of its Subsidiaries has taken any action, directly or indirectly, that could reasonably be expected to result in a violation or a sanction for violation by such persons of the Foreign Corrupt Practices Act of 1977 or the U.K. Bribery Act 2010, each as may be amended, or similar law of any other relevant jurisdiction, or the rules or regulations thereunder; and policies and procedures are in place designed to ensure compliance by the Servicer and its Subsidiaries therewith.</w:t>
      </w:r>
    </w:p>
    <w:p>
      <w:pPr>
        <w:spacing w:after="0" w:line="83" w:lineRule="exact"/>
        <w:rPr>
          <w:rFonts w:ascii="Arial" w:cs="Arial" w:eastAsia="Arial" w:hAnsi="Arial"/>
          <w:sz w:val="18"/>
          <w:szCs w:val="18"/>
          <w:color w:val="auto"/>
        </w:rPr>
      </w:pPr>
    </w:p>
    <w:p>
      <w:pPr>
        <w:ind w:left="440" w:firstLine="421"/>
        <w:spacing w:after="0" w:line="277" w:lineRule="auto"/>
        <w:tabs>
          <w:tab w:leader="none" w:pos="112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operations of the Servicer and its Subsidiaries are and have been conducted at all times in compliance, in all material respects, with applicable financial recordkeeping and reporting requirements, including the Anti-Money Laundering Laws and no action, suit or proceeding by or before any court or governmental agency, authority or body or any arbitrator involving the Servicer or any of its Subsidiaries with respect to the Anti-Money Laundering Laws is pending or, to the knowledge of the Servicer, threatened.</w:t>
      </w:r>
    </w:p>
    <w:p>
      <w:pPr>
        <w:spacing w:after="0" w:line="65" w:lineRule="exact"/>
        <w:rPr>
          <w:rFonts w:ascii="Arial" w:cs="Arial" w:eastAsia="Arial" w:hAnsi="Arial"/>
          <w:sz w:val="17"/>
          <w:szCs w:val="17"/>
          <w:color w:val="auto"/>
        </w:rPr>
      </w:pPr>
    </w:p>
    <w:p>
      <w:pPr>
        <w:ind w:left="440" w:firstLine="421"/>
        <w:spacing w:after="0" w:line="290" w:lineRule="auto"/>
        <w:tabs>
          <w:tab w:leader="none" w:pos="117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Neither the Servicer nor any of its Subsidiaries nor, to the knowledge of the Servicer, any director, officer, agent, employee or controlled affiliate of the Servicer or any of its Subsidiaries (i) is, or is controlled or 50% or more owned in the aggregate by or is acting on behalf of, one or more Sanctioned Persons that have been publicly identified as being currently the subject of Sanctions, or (ii) is located, organized or resident in a Sanctioned Country that is, or whose government is, the subject of Sanctions that broadly prohibit dealings with that Sanctioned Country. The Servicer will not, directly or indirectly, use the proceeds of the Advances, or lend, contribute or otherwise make available such proceeds to any Subsidiary, joint venture partner or other individual or entity in any manner that would result in a violation of any Sanctions by, or could reasonably be expected to result in the imposition of Sanctions against, any individual or entity (including any Secured Party).</w:t>
      </w:r>
    </w:p>
    <w:p>
      <w:pPr>
        <w:spacing w:after="0" w:line="56" w:lineRule="exact"/>
        <w:rPr>
          <w:rFonts w:ascii="Arial" w:cs="Arial" w:eastAsia="Arial" w:hAnsi="Arial"/>
          <w:sz w:val="16"/>
          <w:szCs w:val="16"/>
          <w:color w:val="auto"/>
        </w:rPr>
      </w:pPr>
    </w:p>
    <w:p>
      <w:pPr>
        <w:ind w:left="440" w:right="100" w:firstLine="421"/>
        <w:spacing w:after="0" w:line="284" w:lineRule="auto"/>
        <w:tabs>
          <w:tab w:leader="none" w:pos="116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Neither the Servicer nor any of its Subsidiaries has engaged in any dealings or transactions with or for the benefit of a Sanctioned Person, or with or in a Sanctioned Country, in the preceding three years, nor does the Servicer or any of its Subsidiaries have any plans to engage in dealings or transactions with or for the benefit of a Sanctioned Person, or with or in a Sanctioned Country.</w:t>
      </w:r>
    </w:p>
    <w:p>
      <w:pPr>
        <w:spacing w:after="0" w:line="166"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Representations and Warranties of each Lender</w:t>
      </w:r>
      <w:r>
        <w:rPr>
          <w:rFonts w:ascii="Arial" w:cs="Arial" w:eastAsia="Arial" w:hAnsi="Arial"/>
          <w:sz w:val="18"/>
          <w:szCs w:val="18"/>
          <w:color w:val="auto"/>
        </w:rPr>
        <w:t>. Each Lender hereby individually represents and warrants, as to itself, that it, acting for its own account, in the aggregate owns and invests on a discretionary basis, not less than $25,000,000 in investments. Notwithstanding any provision herein to the contrary, the parties hereto intend that the Advances made hereunder shall constitute a “loan” and not a “security” for purposes of Section 8-102(15) of the UCC.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40"/>
          </w:cols>
          <w:pgMar w:left="460" w:top="273" w:right="499" w:bottom="1440" w:gutter="0" w:footer="0" w:header="0"/>
        </w:sectPr>
      </w:pPr>
    </w:p>
    <w:bookmarkStart w:id="181" w:name="page182"/>
    <w:bookmarkEnd w:id="18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4.05 </w:t>
      </w:r>
      <w:r>
        <w:rPr>
          <w:rFonts w:ascii="Arial" w:cs="Arial" w:eastAsia="Arial" w:hAnsi="Arial"/>
          <w:sz w:val="16"/>
          <w:szCs w:val="16"/>
          <w:u w:val="single" w:color="auto"/>
          <w:color w:val="auto"/>
        </w:rPr>
        <w:t>Representations and Warranties of the Collateral Custodian</w:t>
      </w:r>
      <w:r>
        <w:rPr>
          <w:rFonts w:ascii="Arial" w:cs="Arial" w:eastAsia="Arial" w:hAnsi="Arial"/>
          <w:sz w:val="16"/>
          <w:szCs w:val="16"/>
          <w:color w:val="auto"/>
        </w:rPr>
        <w:t>. The Collateral Custodian in its individual capacity and as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Collateral Custodian represents and warrants as follows:</w:t>
      </w:r>
    </w:p>
    <w:p>
      <w:pPr>
        <w:spacing w:after="0" w:line="101" w:lineRule="exact"/>
        <w:rPr>
          <w:sz w:val="20"/>
          <w:szCs w:val="20"/>
          <w:color w:val="auto"/>
        </w:rPr>
      </w:pPr>
    </w:p>
    <w:p>
      <w:pPr>
        <w:ind w:right="100" w:firstLine="989"/>
        <w:spacing w:after="0" w:line="262" w:lineRule="auto"/>
        <w:tabs>
          <w:tab w:leader="none" w:pos="123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Organization; Power and Authority</w:t>
      </w:r>
      <w:r>
        <w:rPr>
          <w:rFonts w:ascii="Arial" w:cs="Arial" w:eastAsia="Arial" w:hAnsi="Arial"/>
          <w:sz w:val="18"/>
          <w:szCs w:val="18"/>
          <w:color w:val="auto"/>
        </w:rPr>
        <w:t>. It is a duly organized and validly existing national banking association in good standing under the laws of the United States. It has full corporate power, authority and legal right to execute, deliver and perform its obligations as Collateral Custodian under this Agreement.</w:t>
      </w:r>
    </w:p>
    <w:p>
      <w:pPr>
        <w:spacing w:after="0" w:line="74" w:lineRule="exact"/>
        <w:rPr>
          <w:rFonts w:ascii="Arial" w:cs="Arial" w:eastAsia="Arial" w:hAnsi="Arial"/>
          <w:sz w:val="18"/>
          <w:szCs w:val="18"/>
          <w:color w:val="auto"/>
        </w:rPr>
      </w:pPr>
    </w:p>
    <w:p>
      <w:pPr>
        <w:ind w:right="160" w:firstLine="989"/>
        <w:spacing w:after="0" w:line="339" w:lineRule="auto"/>
        <w:tabs>
          <w:tab w:leader="none" w:pos="124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The execution and delivery of this Agreement and the consummation of the transactions provided for herein have been duly authorized by all necessary association action on its part, either in its individual capacity or as Collateral Custodian, as the case may be.</w:t>
      </w:r>
    </w:p>
    <w:p>
      <w:pPr>
        <w:spacing w:after="0" w:line="17" w:lineRule="exact"/>
        <w:rPr>
          <w:rFonts w:ascii="Arial" w:cs="Arial" w:eastAsia="Arial" w:hAnsi="Arial"/>
          <w:sz w:val="16"/>
          <w:szCs w:val="16"/>
          <w:color w:val="auto"/>
        </w:rPr>
      </w:pPr>
    </w:p>
    <w:p>
      <w:pPr>
        <w:ind w:right="100" w:firstLine="989"/>
        <w:spacing w:after="0" w:line="258" w:lineRule="auto"/>
        <w:tabs>
          <w:tab w:leader="none" w:pos="123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the performance of the transactions contemplated hereby and the fulfillment of the terms hereof will not conflict with, result in any breach of its articles of incorporation or bylaws or any of the terms and provisions of, or constitute (with or without notice or lapse of time or both) a default under any indenture, contract, agreement, mortgage, deed of trust, or other instrument to which the Collateral Custodian is a party or by which it or any of its property is bound.</w:t>
      </w:r>
    </w:p>
    <w:p>
      <w:pPr>
        <w:spacing w:after="0" w:line="77" w:lineRule="exact"/>
        <w:rPr>
          <w:rFonts w:ascii="Arial" w:cs="Arial" w:eastAsia="Arial" w:hAnsi="Arial"/>
          <w:sz w:val="18"/>
          <w:szCs w:val="18"/>
          <w:color w:val="auto"/>
        </w:rPr>
      </w:pPr>
    </w:p>
    <w:p>
      <w:pPr>
        <w:ind w:right="680" w:firstLine="989"/>
        <w:spacing w:after="0" w:line="275"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and delivery of this Agreement, the performance of the transactions contemplated hereby and the fulfillment of the terms hereof will not conflict with or violate, in any respect, any Applicable Law.</w:t>
      </w:r>
    </w:p>
    <w:p>
      <w:pPr>
        <w:spacing w:after="0" w:line="63" w:lineRule="exact"/>
        <w:rPr>
          <w:rFonts w:ascii="Arial" w:cs="Arial" w:eastAsia="Arial" w:hAnsi="Arial"/>
          <w:sz w:val="18"/>
          <w:szCs w:val="18"/>
          <w:color w:val="auto"/>
        </w:rPr>
      </w:pPr>
    </w:p>
    <w:p>
      <w:pPr>
        <w:ind w:right="420" w:firstLine="989"/>
        <w:spacing w:after="0" w:line="310" w:lineRule="auto"/>
        <w:tabs>
          <w:tab w:leader="none" w:pos="123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All Consents Required</w:t>
      </w:r>
      <w:r>
        <w:rPr>
          <w:rFonts w:ascii="Arial" w:cs="Arial" w:eastAsia="Arial" w:hAnsi="Arial"/>
          <w:sz w:val="16"/>
          <w:szCs w:val="16"/>
          <w:color w:val="auto"/>
        </w:rPr>
        <w:t>. All approvals, authorizations, consents, orders or other actions of any Person or Governmental Authority applicable to the Collateral Custodian, required in connection with the execution and delivery of this Agreement, the performance by the Collateral Custodian of the transactions contemplated hereby and the fulfillment by the Collateral Custodian of the terms hereof have been obtained.</w:t>
      </w:r>
    </w:p>
    <w:p>
      <w:pPr>
        <w:spacing w:after="0" w:line="39" w:lineRule="exact"/>
        <w:rPr>
          <w:rFonts w:ascii="Arial" w:cs="Arial" w:eastAsia="Arial" w:hAnsi="Arial"/>
          <w:sz w:val="16"/>
          <w:szCs w:val="16"/>
          <w:color w:val="auto"/>
        </w:rPr>
      </w:pPr>
    </w:p>
    <w:p>
      <w:pPr>
        <w:ind w:firstLine="989"/>
        <w:spacing w:after="0" w:line="262" w:lineRule="auto"/>
        <w:tabs>
          <w:tab w:leader="none" w:pos="121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Validity, Etc.</w:t>
      </w:r>
      <w:r>
        <w:rPr>
          <w:rFonts w:ascii="Arial" w:cs="Arial" w:eastAsia="Arial" w:hAnsi="Arial"/>
          <w:sz w:val="18"/>
          <w:szCs w:val="18"/>
          <w:color w:val="auto"/>
        </w:rPr>
        <w:t xml:space="preserve"> The Agreement constitutes the legal, valid and binding obligation of the Collateral Custodian, enforceable against the Collateral Custodian in accordance with its terms, except as such enforceability may be limited by applicable Bankruptcy Laws and general principles of equity.</w:t>
      </w:r>
    </w:p>
    <w:p>
      <w:pPr>
        <w:spacing w:after="0" w:line="182" w:lineRule="exact"/>
        <w:rPr>
          <w:sz w:val="20"/>
          <w:szCs w:val="20"/>
          <w:color w:val="auto"/>
        </w:rPr>
      </w:pPr>
    </w:p>
    <w:p>
      <w:pPr>
        <w:ind w:right="420" w:firstLine="987"/>
        <w:spacing w:after="0" w:line="27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Representations and Warranties of the Backup Servicer</w:t>
      </w:r>
      <w:r>
        <w:rPr>
          <w:rFonts w:ascii="Arial" w:cs="Arial" w:eastAsia="Arial" w:hAnsi="Arial"/>
          <w:sz w:val="18"/>
          <w:szCs w:val="18"/>
          <w:color w:val="auto"/>
        </w:rPr>
        <w:t>. The Backup Servicer in its individual capacity and as Collateral Custodian represents and warrants as follows:</w:t>
      </w:r>
    </w:p>
    <w:p>
      <w:pPr>
        <w:spacing w:after="0" w:line="63" w:lineRule="exact"/>
        <w:rPr>
          <w:sz w:val="20"/>
          <w:szCs w:val="20"/>
          <w:color w:val="auto"/>
        </w:rPr>
      </w:pPr>
    </w:p>
    <w:p>
      <w:pPr>
        <w:jc w:val="both"/>
        <w:ind w:right="100" w:firstLine="989"/>
        <w:spacing w:after="0" w:line="262" w:lineRule="auto"/>
        <w:tabs>
          <w:tab w:leader="none" w:pos="123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Organization; Power and Authority</w:t>
      </w:r>
      <w:r>
        <w:rPr>
          <w:rFonts w:ascii="Arial" w:cs="Arial" w:eastAsia="Arial" w:hAnsi="Arial"/>
          <w:sz w:val="18"/>
          <w:szCs w:val="18"/>
          <w:color w:val="auto"/>
        </w:rPr>
        <w:t>. It is a duly organized and validly existing national banking association in good standing under the laws of the United States. It has full corporate power, authority and legal right to execute, deliver and perform its obligations as Backup Servicer under this Agreement.</w:t>
      </w:r>
    </w:p>
    <w:p>
      <w:pPr>
        <w:spacing w:after="0" w:line="74" w:lineRule="exact"/>
        <w:rPr>
          <w:rFonts w:ascii="Arial" w:cs="Arial" w:eastAsia="Arial" w:hAnsi="Arial"/>
          <w:sz w:val="18"/>
          <w:szCs w:val="18"/>
          <w:color w:val="auto"/>
        </w:rPr>
      </w:pPr>
    </w:p>
    <w:p>
      <w:pPr>
        <w:ind w:right="160" w:firstLine="989"/>
        <w:spacing w:after="0" w:line="339" w:lineRule="auto"/>
        <w:tabs>
          <w:tab w:leader="none" w:pos="124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The execution and delivery of this Agreement and the consummation of the transactions provided for herein have been duly authorized by all necessary association action on its part, either in its individual capacity or as Backup Servicer, as the case may be.</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0960"/>
          </w:cols>
          <w:pgMar w:left="460" w:top="273" w:right="479" w:bottom="1440" w:gutter="0" w:footer="0" w:header="0"/>
        </w:sectPr>
      </w:pPr>
    </w:p>
    <w:bookmarkStart w:id="182" w:name="page183"/>
    <w:bookmarkEnd w:id="182"/>
    <w:p>
      <w:pPr>
        <w:ind w:left="-2" w:right="100" w:firstLine="989"/>
        <w:spacing w:after="0" w:line="258" w:lineRule="auto"/>
        <w:tabs>
          <w:tab w:leader="none" w:pos="122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 Conflict</w:t>
      </w:r>
      <w:r>
        <w:rPr>
          <w:rFonts w:ascii="Arial" w:cs="Arial" w:eastAsia="Arial" w:hAnsi="Arial"/>
          <w:sz w:val="18"/>
          <w:szCs w:val="18"/>
          <w:color w:val="auto"/>
        </w:rPr>
        <w:t>. The execution and delivery of this Agreement, the performance of the transactions contemplated hereby and the fulfillment of the terms hereof will not conflict with, result in any breach of its articles of incorporation or bylaws or any of the terms and provisions of, or constitute (with or without notice or lapse of time or both) a default under any indenture, contract, agreement, mortgage, deed of trust, or other instrument to which the Backup Servicer is a party or by which it or any of its property is bound.</w:t>
      </w:r>
    </w:p>
    <w:p>
      <w:pPr>
        <w:spacing w:after="0" w:line="77" w:lineRule="exact"/>
        <w:rPr>
          <w:rFonts w:ascii="Arial" w:cs="Arial" w:eastAsia="Arial" w:hAnsi="Arial"/>
          <w:sz w:val="18"/>
          <w:szCs w:val="18"/>
          <w:color w:val="auto"/>
        </w:rPr>
      </w:pPr>
    </w:p>
    <w:p>
      <w:pPr>
        <w:ind w:left="-2" w:right="680" w:firstLine="989"/>
        <w:spacing w:after="0" w:line="275" w:lineRule="auto"/>
        <w:tabs>
          <w:tab w:leader="none" w:pos="1238"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 Violation</w:t>
      </w:r>
      <w:r>
        <w:rPr>
          <w:rFonts w:ascii="Arial" w:cs="Arial" w:eastAsia="Arial" w:hAnsi="Arial"/>
          <w:sz w:val="18"/>
          <w:szCs w:val="18"/>
          <w:color w:val="auto"/>
        </w:rPr>
        <w:t>. The execution and delivery of this Agreement, the performance of the transactions contemplated hereby and the fulfillment of the terms hereof will not conflict with or violate, in any respect, any Applicable Law.</w:t>
      </w:r>
    </w:p>
    <w:p>
      <w:pPr>
        <w:spacing w:after="0" w:line="63" w:lineRule="exact"/>
        <w:rPr>
          <w:rFonts w:ascii="Arial" w:cs="Arial" w:eastAsia="Arial" w:hAnsi="Arial"/>
          <w:sz w:val="18"/>
          <w:szCs w:val="18"/>
          <w:color w:val="auto"/>
        </w:rPr>
      </w:pPr>
    </w:p>
    <w:p>
      <w:pPr>
        <w:ind w:left="-2" w:right="40" w:firstLine="989"/>
        <w:spacing w:after="0" w:line="284" w:lineRule="auto"/>
        <w:tabs>
          <w:tab w:leader="none" w:pos="1228"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t>All Consents Required</w:t>
      </w:r>
      <w:r>
        <w:rPr>
          <w:rFonts w:ascii="Arial" w:cs="Arial" w:eastAsia="Arial" w:hAnsi="Arial"/>
          <w:sz w:val="17"/>
          <w:szCs w:val="17"/>
          <w:color w:val="auto"/>
        </w:rPr>
        <w:t>. All approvals, authorizations, consents, orders or other actions of any Person or Governmental Authority applicable to the Backup Servicer, required in connection with the execution and delivery of this Agreement, the performance by the Backup Servicer of the transactions contemplated hereby and the fulfillment by the Backup Servicer of the terms hereof have been obtained.</w:t>
      </w:r>
    </w:p>
    <w:p>
      <w:pPr>
        <w:spacing w:after="0" w:line="58" w:lineRule="exact"/>
        <w:rPr>
          <w:rFonts w:ascii="Arial" w:cs="Arial" w:eastAsia="Arial" w:hAnsi="Arial"/>
          <w:sz w:val="17"/>
          <w:szCs w:val="17"/>
          <w:color w:val="auto"/>
        </w:rPr>
      </w:pPr>
    </w:p>
    <w:p>
      <w:pPr>
        <w:jc w:val="both"/>
        <w:ind w:left="-2" w:right="300" w:firstLine="989"/>
        <w:spacing w:after="0" w:line="262" w:lineRule="auto"/>
        <w:tabs>
          <w:tab w:leader="none" w:pos="1209"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Validity, Etc.</w:t>
      </w:r>
      <w:r>
        <w:rPr>
          <w:rFonts w:ascii="Arial" w:cs="Arial" w:eastAsia="Arial" w:hAnsi="Arial"/>
          <w:sz w:val="18"/>
          <w:szCs w:val="18"/>
          <w:color w:val="auto"/>
        </w:rPr>
        <w:t xml:space="preserve"> The Agreement constitutes the legal, valid and binding obligation of the Collateral Custodian, enforceable against the Backup Servicer in accordance with its terms, except as such enforceability may be limited by applicable Bankruptcy Laws and general principles of equity (whether considered in a suit at law or in equity).</w:t>
      </w:r>
    </w:p>
    <w:p>
      <w:pPr>
        <w:spacing w:after="0" w:line="393"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ind w:right="-17"/>
        <w:spacing w:after="0"/>
        <w:rPr>
          <w:sz w:val="20"/>
          <w:szCs w:val="20"/>
          <w:color w:val="auto"/>
        </w:rPr>
      </w:pPr>
      <w:r>
        <w:rPr>
          <w:rFonts w:ascii="Arial" w:cs="Arial" w:eastAsia="Arial" w:hAnsi="Arial"/>
          <w:sz w:val="18"/>
          <w:szCs w:val="18"/>
          <w:b w:val="1"/>
          <w:bCs w:val="1"/>
          <w:color w:val="auto"/>
        </w:rPr>
        <w:t>GENERAL COVENANTS</w:t>
      </w:r>
    </w:p>
    <w:p>
      <w:pPr>
        <w:spacing w:after="0" w:line="227" w:lineRule="exact"/>
        <w:rPr>
          <w:sz w:val="20"/>
          <w:szCs w:val="20"/>
          <w:color w:val="auto"/>
        </w:rPr>
      </w:pPr>
    </w:p>
    <w:p>
      <w:pPr>
        <w:ind w:left="978"/>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jc w:val="both"/>
        <w:ind w:left="-2" w:right="120" w:firstLine="989"/>
        <w:spacing w:after="0" w:line="285" w:lineRule="auto"/>
        <w:tabs>
          <w:tab w:leader="none" w:pos="1228"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Organizational Procedures and Scope of Business</w:t>
      </w:r>
      <w:r>
        <w:rPr>
          <w:rFonts w:ascii="Arial" w:cs="Arial" w:eastAsia="Arial" w:hAnsi="Arial"/>
          <w:sz w:val="16"/>
          <w:szCs w:val="16"/>
          <w:color w:val="auto"/>
        </w:rPr>
        <w:t>. The Borrower will observe all organizational procedures required by its certificate of formation, limited liability company agreement and the laws of its jurisdiction of formation. Without limiting the foregoing, the Borrower will limit the scope of its business to: (i) the acquisition of Eligible Loan Assets and the ownership and management of the Portfolio Assets and the related assets in the Collateral Portfolio; (ii) the sale, transfer or other disposition of Loan Assets as and when permitted under the Transaction Documents;</w:t>
      </w:r>
    </w:p>
    <w:p>
      <w:pPr>
        <w:ind w:left="-2" w:right="280" w:firstLine="2"/>
        <w:spacing w:after="0" w:line="280" w:lineRule="auto"/>
        <w:tabs>
          <w:tab w:leader="none" w:pos="31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entering into and performing under the Transaction Documents; (iv) consenting or withholding consent as to proposed amendments, waivers and other modifications of the Loan Agreements to the extent not in conflict with the terms of this Agreement or any other Transaction Document;</w:t>
      </w:r>
    </w:p>
    <w:p>
      <w:pPr>
        <w:ind w:left="-2" w:firstLine="2"/>
        <w:spacing w:after="0" w:line="290" w:lineRule="auto"/>
        <w:tabs>
          <w:tab w:leader="none" w:pos="25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exercising any rights (including but not limited to voting rights and rights arising in connection with a Bankruptcy Event with respect to an Obligor or the consensual or non-judicial restructuring of the debt or equity of an Obligor) or remedies in connection with the Loan Assets and participating in the committees (official or otherwise) or other groups formed by creditors of an Obligor to the extent not in conflict with the terms of this Agreement or any other Transaction Document; and (vi) to engage in any activity and to exercise any powers permitted to limited liability companies under the laws of the State of Delaware that are related to the foregoing and necessary, convenient or advisable to accomplish the foregoing.</w:t>
      </w:r>
    </w:p>
    <w:p>
      <w:pPr>
        <w:spacing w:after="0" w:line="97"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58"/>
          </w:cols>
          <w:pgMar w:left="462" w:top="273" w:right="479" w:bottom="1440" w:gutter="0" w:footer="0" w:header="0"/>
        </w:sectPr>
      </w:pPr>
    </w:p>
    <w:bookmarkStart w:id="183" w:name="page184"/>
    <w:bookmarkEnd w:id="183"/>
    <w:p>
      <w:pPr>
        <w:ind w:left="-2" w:right="20" w:firstLine="989"/>
        <w:spacing w:after="0" w:line="282" w:lineRule="auto"/>
        <w:tabs>
          <w:tab w:leader="none" w:pos="1238"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Special Purpose Entity Requirements</w:t>
      </w:r>
      <w:r>
        <w:rPr>
          <w:rFonts w:ascii="Arial" w:cs="Arial" w:eastAsia="Arial" w:hAnsi="Arial"/>
          <w:sz w:val="16"/>
          <w:szCs w:val="16"/>
          <w:color w:val="auto"/>
        </w:rPr>
        <w:t>. The Borrower will at all times: (i) maintain at least one Independent Director; (ii) maintain its own separate books and records and bank accounts; (iii) hold itself out to the public and all other Persons as a legal entity separate from the Transferor and any other Person (although, in connection with certain advertising, filings and marketing, the Borrower may be identified as a Subsidiary of Solar Capital); (iv) have a Board of Directors separate from that of the Transferor and any other Person; (v) file its own tax returns, if any, as may be required under Applicable Law, to the extent it is (1) not part of a consolidated group filing a consolidated return or returns or (2) not treated as a division or disregarded entity for Tax purposes of another taxpayer, and pay any Taxes so required to be paid under Applicable Law in accordance with the terms of this Agreement; (vi) not commingle its assets with assets of any other Person; (vii) conduct its business in its own name and strictly comply with all organizational formalities to maintain its separate existence (although, in connection with certain advertising, filings and marketing, the Borrower may be identified as a Subsidiary of Solar Capital); (viii) maintain separate financial statements, except to the extent that the Borrower’s financial and operating results are consolidated with those of Solar Capital in consolidated financial statements; (ix) pay its own liabilities only out of its own funds;</w:t>
      </w:r>
    </w:p>
    <w:p>
      <w:pPr>
        <w:spacing w:after="0" w:line="2" w:lineRule="exact"/>
        <w:rPr>
          <w:rFonts w:ascii="Arial" w:cs="Arial" w:eastAsia="Arial" w:hAnsi="Arial"/>
          <w:sz w:val="16"/>
          <w:szCs w:val="16"/>
          <w:color w:val="auto"/>
        </w:rPr>
      </w:pPr>
    </w:p>
    <w:p>
      <w:pPr>
        <w:ind w:left="-2" w:right="20" w:firstLine="2"/>
        <w:spacing w:after="0" w:line="280" w:lineRule="auto"/>
        <w:tabs>
          <w:tab w:leader="none" w:pos="25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maintain an arm’s-length relationship with its Affiliates and the Transferor; (xi) pay the salaries of its own employees, if any; (xii) not hold out its credit or assets as being available to satisfy the obligations of others; (xiii) allocate fairly and reasonably any overhead for shared office space; (xiv) use separate stationery, invoices and checks (although, in connection with certain advertising and marketing, the Borrower may be identified as a Subsidiary of Solar Capital); (xv) except as expressly permitted by this Agreement, not pledge its assets as security for the obligations of any other Person;</w:t>
      </w:r>
    </w:p>
    <w:p>
      <w:pPr>
        <w:spacing w:after="0" w:line="1" w:lineRule="exact"/>
        <w:rPr>
          <w:rFonts w:ascii="Arial" w:cs="Arial" w:eastAsia="Arial" w:hAnsi="Arial"/>
          <w:sz w:val="16"/>
          <w:szCs w:val="16"/>
          <w:color w:val="auto"/>
        </w:rPr>
      </w:pPr>
    </w:p>
    <w:p>
      <w:pPr>
        <w:ind w:left="-2" w:right="20" w:firstLine="2"/>
        <w:spacing w:after="0" w:line="288" w:lineRule="auto"/>
        <w:tabs>
          <w:tab w:leader="none" w:pos="39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correct any known misunderstanding regarding its separate identity; (xvii) maintain adequate capital in light of its contemplated business purpose, transactions and liabilities and pay its operating expenses and liabilities from its own assets; (xviii) cause its Board of Directors to meet at least annually or act pursuant to written consent and keep minutes of such meetings and actions and observe in all material respects all other Delaware limited liability company formalities; (xix) not acquire the obligations or any securities of its Affiliates; and (xx) cause the directors, officers, agents and other representatives of the Borrower to act at all times with respect to the Borrower consistently and in furtherance of the foregoing and in the best interests of the Borrower. Where necessary, the Borrower will obtain proper authorization from its members for limited liability company action.</w:t>
      </w:r>
    </w:p>
    <w:p>
      <w:pPr>
        <w:spacing w:after="0" w:line="58" w:lineRule="exact"/>
        <w:rPr>
          <w:rFonts w:ascii="Arial" w:cs="Arial" w:eastAsia="Arial" w:hAnsi="Arial"/>
          <w:sz w:val="16"/>
          <w:szCs w:val="16"/>
          <w:color w:val="auto"/>
        </w:rPr>
      </w:pPr>
    </w:p>
    <w:p>
      <w:pPr>
        <w:ind w:left="-2" w:firstLine="989"/>
        <w:spacing w:after="0" w:line="258" w:lineRule="auto"/>
        <w:tabs>
          <w:tab w:leader="none" w:pos="122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Preservation of Company Existence</w:t>
      </w:r>
      <w:r>
        <w:rPr>
          <w:rFonts w:ascii="Arial" w:cs="Arial" w:eastAsia="Arial" w:hAnsi="Arial"/>
          <w:sz w:val="18"/>
          <w:szCs w:val="18"/>
          <w:color w:val="auto"/>
        </w:rPr>
        <w:t>. The Borrower will preserve and maintain its limited liability company existence, rights, franchises and privileges in the jurisdiction of its formation, and qualify and remain in good standing as a limited liability company under the laws of its jurisdiction of formation, and will promptly obtain and thereafter maintain qualifications to do business as a foreign limited liability company in any other state in which it does business and in which it is required to so qualify under Applicable Law.</w:t>
      </w:r>
    </w:p>
    <w:p>
      <w:pPr>
        <w:spacing w:after="0" w:line="77" w:lineRule="exact"/>
        <w:rPr>
          <w:rFonts w:ascii="Arial" w:cs="Arial" w:eastAsia="Arial" w:hAnsi="Arial"/>
          <w:sz w:val="18"/>
          <w:szCs w:val="18"/>
          <w:color w:val="auto"/>
        </w:rPr>
      </w:pPr>
    </w:p>
    <w:p>
      <w:pPr>
        <w:ind w:left="-2" w:right="60" w:firstLine="989"/>
        <w:spacing w:after="0" w:line="258" w:lineRule="auto"/>
        <w:tabs>
          <w:tab w:leader="none" w:pos="1238"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Compliance with Legal Opinions</w:t>
      </w:r>
      <w:r>
        <w:rPr>
          <w:rFonts w:ascii="Arial" w:cs="Arial" w:eastAsia="Arial" w:hAnsi="Arial"/>
          <w:sz w:val="18"/>
          <w:szCs w:val="18"/>
          <w:color w:val="auto"/>
        </w:rPr>
        <w:t>. The Borrower shall take all other actions necessary to maintain the accuracy of the factual assumptions set forth in the legal opinions of Latham &amp; Watkins LLP and Richards, Layton &amp; Finger, P.A., each as special counsel to the Borrower and issued in connection with the Transaction Documents and relating to the issues of substantive consolidation and “true contribution” of the Loan Assets, as applicable.</w:t>
      </w:r>
    </w:p>
    <w:p>
      <w:pPr>
        <w:spacing w:after="0" w:line="118"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38"/>
          </w:cols>
          <w:pgMar w:left="462" w:top="273" w:right="499" w:bottom="1440" w:gutter="0" w:footer="0" w:header="0"/>
        </w:sectPr>
      </w:pPr>
    </w:p>
    <w:bookmarkStart w:id="184" w:name="page185"/>
    <w:bookmarkEnd w:id="184"/>
    <w:p>
      <w:pPr>
        <w:ind w:right="80" w:firstLine="989"/>
        <w:spacing w:after="0" w:line="305" w:lineRule="auto"/>
        <w:tabs>
          <w:tab w:leader="none" w:pos="123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Deposit of Collections</w:t>
      </w:r>
      <w:r>
        <w:rPr>
          <w:rFonts w:ascii="Arial" w:cs="Arial" w:eastAsia="Arial" w:hAnsi="Arial"/>
          <w:sz w:val="17"/>
          <w:szCs w:val="17"/>
          <w:color w:val="auto"/>
        </w:rPr>
        <w:t>. The Borrower shall promptly (but in no event later than two Business Days after receipt) deposit or cause to be deposited into the Collection Account any and all Available Collections received by the Borrower, the Servicer or any of their Affiliates.</w:t>
      </w:r>
    </w:p>
    <w:p>
      <w:pPr>
        <w:spacing w:after="0" w:line="40" w:lineRule="exact"/>
        <w:rPr>
          <w:rFonts w:ascii="Arial" w:cs="Arial" w:eastAsia="Arial" w:hAnsi="Arial"/>
          <w:sz w:val="17"/>
          <w:szCs w:val="17"/>
          <w:color w:val="auto"/>
        </w:rPr>
      </w:pPr>
    </w:p>
    <w:p>
      <w:pPr>
        <w:ind w:firstLine="989"/>
        <w:spacing w:after="0" w:line="275" w:lineRule="auto"/>
        <w:tabs>
          <w:tab w:leader="none" w:pos="121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Disclosure of Purchase Price</w:t>
      </w:r>
      <w:r>
        <w:rPr>
          <w:rFonts w:ascii="Arial" w:cs="Arial" w:eastAsia="Arial" w:hAnsi="Arial"/>
          <w:sz w:val="18"/>
          <w:szCs w:val="18"/>
          <w:color w:val="auto"/>
        </w:rPr>
        <w:t>. The Borrower shall disclose to the Administrative Agent the purchase price for each Loan Asset proposed to be transferred to the Borrower pursuant to the terms of the Contribution Agreement.</w:t>
      </w:r>
    </w:p>
    <w:p>
      <w:pPr>
        <w:spacing w:after="0" w:line="63" w:lineRule="exact"/>
        <w:rPr>
          <w:rFonts w:ascii="Arial" w:cs="Arial" w:eastAsia="Arial" w:hAnsi="Arial"/>
          <w:sz w:val="18"/>
          <w:szCs w:val="18"/>
          <w:color w:val="auto"/>
        </w:rPr>
      </w:pPr>
    </w:p>
    <w:p>
      <w:pPr>
        <w:ind w:right="820" w:firstLine="989"/>
        <w:spacing w:after="0" w:line="275" w:lineRule="auto"/>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Compliance With Loan Agreements</w:t>
      </w:r>
      <w:r>
        <w:rPr>
          <w:rFonts w:ascii="Arial" w:cs="Arial" w:eastAsia="Arial" w:hAnsi="Arial"/>
          <w:sz w:val="18"/>
          <w:szCs w:val="18"/>
          <w:color w:val="auto"/>
        </w:rPr>
        <w:t>. The Borrower will act in conformity with all material terms and conditions of the Loan Agreements and Required Loan Documents.</w:t>
      </w:r>
    </w:p>
    <w:p>
      <w:pPr>
        <w:spacing w:after="0" w:line="63" w:lineRule="exact"/>
        <w:rPr>
          <w:rFonts w:ascii="Arial" w:cs="Arial" w:eastAsia="Arial" w:hAnsi="Arial"/>
          <w:sz w:val="18"/>
          <w:szCs w:val="18"/>
          <w:color w:val="auto"/>
        </w:rPr>
      </w:pPr>
    </w:p>
    <w:p>
      <w:pPr>
        <w:ind w:right="160" w:firstLine="989"/>
        <w:spacing w:after="0" w:line="310" w:lineRule="auto"/>
        <w:tabs>
          <w:tab w:leader="none" w:pos="124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Obligor Defaults and Bankruptcy Events</w:t>
      </w:r>
      <w:r>
        <w:rPr>
          <w:rFonts w:ascii="Arial" w:cs="Arial" w:eastAsia="Arial" w:hAnsi="Arial"/>
          <w:sz w:val="16"/>
          <w:szCs w:val="16"/>
          <w:color w:val="auto"/>
        </w:rPr>
        <w:t>. The Borrower shall give, or shall cause the Servicer to give, notice to the Administrative Agent within five Business Days of the Borrower’s, the Transferor’s or the Servicer’s actual knowledge of the occurrence of any default by an Obligor under any Loan Asset, including any payment default or Bankruptcy Event with respect to any Obligor under any Loan Asset.</w:t>
      </w:r>
    </w:p>
    <w:p>
      <w:pPr>
        <w:spacing w:after="0" w:line="39" w:lineRule="exact"/>
        <w:rPr>
          <w:rFonts w:ascii="Arial" w:cs="Arial" w:eastAsia="Arial" w:hAnsi="Arial"/>
          <w:sz w:val="16"/>
          <w:szCs w:val="16"/>
          <w:color w:val="auto"/>
        </w:rPr>
      </w:pPr>
    </w:p>
    <w:p>
      <w:pPr>
        <w:ind w:firstLine="989"/>
        <w:spacing w:after="0" w:line="262" w:lineRule="auto"/>
        <w:tabs>
          <w:tab w:leader="none" w:pos="120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Required Loan Documents</w:t>
      </w:r>
      <w:r>
        <w:rPr>
          <w:rFonts w:ascii="Arial" w:cs="Arial" w:eastAsia="Arial" w:hAnsi="Arial"/>
          <w:sz w:val="18"/>
          <w:szCs w:val="18"/>
          <w:color w:val="auto"/>
        </w:rPr>
        <w:t>. The Borrower shall deliver to the Collateral Custodian and the Backup Servicer a hard copy of the Required Loan Documents and the Loan Asset Checklist pertaining to each Loan Asset within five Business Days of the Cut-Off Date pertaining to such Loan Asset.</w:t>
      </w:r>
    </w:p>
    <w:p>
      <w:pPr>
        <w:spacing w:after="0" w:line="74" w:lineRule="exact"/>
        <w:rPr>
          <w:rFonts w:ascii="Arial" w:cs="Arial" w:eastAsia="Arial" w:hAnsi="Arial"/>
          <w:sz w:val="18"/>
          <w:szCs w:val="18"/>
          <w:color w:val="auto"/>
        </w:rPr>
      </w:pPr>
    </w:p>
    <w:p>
      <w:pPr>
        <w:ind w:right="180" w:firstLine="989"/>
        <w:spacing w:after="0" w:line="275" w:lineRule="auto"/>
        <w:tabs>
          <w:tab w:leader="none" w:pos="120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Borrower will file or cause to be filed its tax returns and pay any and all Taxes imposed on it or its property as required by the Transaction Documents (except as contemplated in </w:t>
      </w:r>
      <w:r>
        <w:rPr>
          <w:rFonts w:ascii="Arial" w:cs="Arial" w:eastAsia="Arial" w:hAnsi="Arial"/>
          <w:sz w:val="18"/>
          <w:szCs w:val="18"/>
          <w:u w:val="single" w:color="auto"/>
          <w:color w:val="auto"/>
        </w:rPr>
        <w:t>Section 4.01(o)</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20" w:firstLine="989"/>
        <w:spacing w:after="0" w:line="274" w:lineRule="auto"/>
        <w:tabs>
          <w:tab w:leader="none" w:pos="124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Notice of Event of Default</w:t>
      </w:r>
      <w:r>
        <w:rPr>
          <w:rFonts w:ascii="Arial" w:cs="Arial" w:eastAsia="Arial" w:hAnsi="Arial"/>
          <w:sz w:val="17"/>
          <w:szCs w:val="17"/>
          <w:color w:val="auto"/>
        </w:rPr>
        <w:t>. The Borrower shall notify the Administrative Agent (with a copy to the Collateral Agent) with prompt (and in any event within one Business Day) written notice of the occurrence of each Event of Default of which the Borrower has knowledge or has received notice. In addition, no later than two Business Days following the Borrower’s knowledge or notice of the occurrence of any Event of Default, the Borrower will provide to the Administrative Agent (with a copy to the Collateral Agent) a written statement of a Responsible Officer of the Borrower setting forth the details of such event and the action that the Borrower proposes to take with respect thereto.</w:t>
      </w:r>
    </w:p>
    <w:p>
      <w:pPr>
        <w:spacing w:after="0" w:line="66" w:lineRule="exact"/>
        <w:rPr>
          <w:rFonts w:ascii="Arial" w:cs="Arial" w:eastAsia="Arial" w:hAnsi="Arial"/>
          <w:sz w:val="17"/>
          <w:szCs w:val="17"/>
          <w:color w:val="auto"/>
        </w:rPr>
      </w:pPr>
    </w:p>
    <w:p>
      <w:pPr>
        <w:ind w:right="380" w:firstLine="989"/>
        <w:spacing w:after="0" w:line="275" w:lineRule="auto"/>
        <w:tabs>
          <w:tab w:leader="none" w:pos="1201"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Notice of Material Events</w:t>
      </w:r>
      <w:r>
        <w:rPr>
          <w:rFonts w:ascii="Arial" w:cs="Arial" w:eastAsia="Arial" w:hAnsi="Arial"/>
          <w:sz w:val="18"/>
          <w:szCs w:val="18"/>
          <w:color w:val="auto"/>
        </w:rPr>
        <w:t>. The Borrower shall promptly notify the Administrative Agent of any event or other circumstance that is reasonably likely to have a Material Adverse Effect.</w:t>
      </w:r>
    </w:p>
    <w:p>
      <w:pPr>
        <w:spacing w:after="0" w:line="63" w:lineRule="exact"/>
        <w:rPr>
          <w:rFonts w:ascii="Arial" w:cs="Arial" w:eastAsia="Arial" w:hAnsi="Arial"/>
          <w:sz w:val="18"/>
          <w:szCs w:val="18"/>
          <w:color w:val="auto"/>
        </w:rPr>
      </w:pPr>
    </w:p>
    <w:p>
      <w:pPr>
        <w:ind w:right="300" w:firstLine="989"/>
        <w:spacing w:after="0" w:line="277" w:lineRule="auto"/>
        <w:tabs>
          <w:tab w:leader="none" w:pos="1290"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Notice of Income Tax Liability</w:t>
      </w:r>
      <w:r>
        <w:rPr>
          <w:rFonts w:ascii="Arial" w:cs="Arial" w:eastAsia="Arial" w:hAnsi="Arial"/>
          <w:sz w:val="17"/>
          <w:szCs w:val="17"/>
          <w:color w:val="auto"/>
        </w:rPr>
        <w:t>. The Borrower shall furnish to the Administrative Agent telephonic or facsimile notice within 10 Business Days (confirmed in writing within five Business Days thereafter) of the receipt of revenue agent reports or other written proposals, determinations or assessments of the Internal Revenue Service or any other taxing authority which propose, determine or otherwise set forth positive adjustments (i) to the Tax liability of Solar Capital or any “affiliated group” (within the meaning of Section 1504(a)(1)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960"/>
          </w:cols>
          <w:pgMar w:left="460" w:top="273" w:right="479" w:bottom="1440" w:gutter="0" w:footer="0" w:header="0"/>
        </w:sectPr>
      </w:pPr>
    </w:p>
    <w:bookmarkStart w:id="185" w:name="page186"/>
    <w:bookmarkEnd w:id="185"/>
    <w:p>
      <w:pPr>
        <w:ind w:right="8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of the Code) of which Solar Capital is a member in an amount equal to or greater than $10,000,000 in the aggregate, or (ii) to the Tax liability of the Borrower itself in an amount equal to or greater than $500,000 in the aggregate. Any such notice shall specify the nature of the items giving rise to such adjustments and the amounts thereof.</w:t>
      </w:r>
    </w:p>
    <w:p>
      <w:pPr>
        <w:spacing w:after="0" w:line="75" w:lineRule="exact"/>
        <w:rPr>
          <w:sz w:val="20"/>
          <w:szCs w:val="20"/>
          <w:color w:val="auto"/>
        </w:rPr>
      </w:pPr>
    </w:p>
    <w:p>
      <w:pPr>
        <w:ind w:right="600" w:firstLine="989"/>
        <w:spacing w:after="0" w:line="275" w:lineRule="auto"/>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Notice of Auditors’ Management Letters</w:t>
      </w:r>
      <w:r>
        <w:rPr>
          <w:rFonts w:ascii="Arial" w:cs="Arial" w:eastAsia="Arial" w:hAnsi="Arial"/>
          <w:sz w:val="18"/>
          <w:szCs w:val="18"/>
          <w:color w:val="auto"/>
        </w:rPr>
        <w:t>. The Borrower shall promptly notify the Administrative Agent after the receipt of any auditors’ management letters received by the Borrower or by its accountants.</w:t>
      </w:r>
    </w:p>
    <w:p>
      <w:pPr>
        <w:spacing w:after="0" w:line="63" w:lineRule="exact"/>
        <w:rPr>
          <w:rFonts w:ascii="Arial" w:cs="Arial" w:eastAsia="Arial" w:hAnsi="Arial"/>
          <w:sz w:val="18"/>
          <w:szCs w:val="18"/>
          <w:color w:val="auto"/>
        </w:rPr>
      </w:pPr>
    </w:p>
    <w:p>
      <w:pPr>
        <w:ind w:right="60" w:firstLine="989"/>
        <w:spacing w:after="0" w:line="253" w:lineRule="auto"/>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Notice of Breaches of Representations and Warranties under this Agreement</w:t>
      </w:r>
      <w:r>
        <w:rPr>
          <w:rFonts w:ascii="Arial" w:cs="Arial" w:eastAsia="Arial" w:hAnsi="Arial"/>
          <w:sz w:val="18"/>
          <w:szCs w:val="18"/>
          <w:color w:val="auto"/>
        </w:rPr>
        <w:t xml:space="preserve">. The Borrower shall, upon receipt of notice or discovery thereof, promptly notify the Administrative Agent if any representation or warranty set forth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was incorrect at the time it was given or deemed to have been given and at the same time deliver to the Collateral Agent and the Administrative Agent a written notice setting forth in reasonable detail the nature of such facts and circumstances. In particular, but without limiting the foregoing, the Borrower shall notify the Administrative Agent in the manner set forth in the preceding sentence before any Cut-Off Date of any facts or circumstances within the knowledge of the Borrower which would render any of the said representations and warranties untrue at the date when such representations and warranties were made or deemed to have been made.</w:t>
      </w:r>
    </w:p>
    <w:p>
      <w:pPr>
        <w:spacing w:after="0" w:line="85" w:lineRule="exact"/>
        <w:rPr>
          <w:rFonts w:ascii="Arial" w:cs="Arial" w:eastAsia="Arial" w:hAnsi="Arial"/>
          <w:sz w:val="18"/>
          <w:szCs w:val="18"/>
          <w:color w:val="auto"/>
        </w:rPr>
      </w:pPr>
    </w:p>
    <w:p>
      <w:pPr>
        <w:ind w:firstLine="989"/>
        <w:spacing w:after="0" w:line="258" w:lineRule="auto"/>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Notice of Breaches of Representations and Warranties under the Contribution Agreement</w:t>
      </w:r>
      <w:r>
        <w:rPr>
          <w:rFonts w:ascii="Arial" w:cs="Arial" w:eastAsia="Arial" w:hAnsi="Arial"/>
          <w:sz w:val="18"/>
          <w:szCs w:val="18"/>
          <w:color w:val="auto"/>
        </w:rPr>
        <w:t>. The Borrower confirms and agrees that the Borrower will, upon receipt of notice or discovery thereof, promptly send to the Administrative Agent and the Collateral Agent a notice of (i) any breach of any representation, warranty, agreement or covenant under the Contribution Agreement or (ii) any event or occurrence that, upon notice, or upon the passage of time or both, would constitute such a breach.</w:t>
      </w:r>
    </w:p>
    <w:p>
      <w:pPr>
        <w:spacing w:after="0" w:line="77" w:lineRule="exact"/>
        <w:rPr>
          <w:rFonts w:ascii="Arial" w:cs="Arial" w:eastAsia="Arial" w:hAnsi="Arial"/>
          <w:sz w:val="18"/>
          <w:szCs w:val="18"/>
          <w:color w:val="auto"/>
        </w:rPr>
      </w:pPr>
    </w:p>
    <w:p>
      <w:pPr>
        <w:ind w:right="40" w:firstLine="989"/>
        <w:spacing w:after="0" w:line="268" w:lineRule="auto"/>
        <w:tabs>
          <w:tab w:leader="none" w:pos="1240"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Notice of Proceedings</w:t>
      </w:r>
      <w:r>
        <w:rPr>
          <w:rFonts w:ascii="Arial" w:cs="Arial" w:eastAsia="Arial" w:hAnsi="Arial"/>
          <w:sz w:val="17"/>
          <w:szCs w:val="17"/>
          <w:color w:val="auto"/>
        </w:rPr>
        <w:t xml:space="preserve">. The Borrower shall notify the Administrative Agent, as soon as possible and in any event within three Business Days, after the Borrower receives notice or obtains knowledge thereof,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affecting the Collateral Portfolio, the Transaction Documents, the Collateral Agent’s, for the benefit of the Secured Parties, interest in the Collateral Portfolio, or the Borrower, the Servicer or the Transferor or any of their Affiliates. For purposes of this </w:t>
      </w:r>
      <w:r>
        <w:rPr>
          <w:rFonts w:ascii="Arial" w:cs="Arial" w:eastAsia="Arial" w:hAnsi="Arial"/>
          <w:sz w:val="17"/>
          <w:szCs w:val="17"/>
          <w:u w:val="single" w:color="auto"/>
          <w:color w:val="auto"/>
        </w:rPr>
        <w:t>Section 5.01(p)</w:t>
      </w:r>
      <w:r>
        <w:rPr>
          <w:rFonts w:ascii="Arial" w:cs="Arial" w:eastAsia="Arial" w:hAnsi="Arial"/>
          <w:sz w:val="17"/>
          <w:szCs w:val="17"/>
          <w:color w:val="auto"/>
        </w:rPr>
        <w:t>, (i) any settlement, judgment, labor controversy, litigation, action, suit or proceeding affecting the Collateral Portfolio, the Transaction Documents, the Collateral Agent’s, for the benefit of the Secured Parties, interest in the Collateral Portfolio, or the Borrower in excess of $500,000 shall be deemed to be material and (ii) any settlement, judgment, labor controversy, litigation, action, suit or proceeding affecting the Servicer or the Transferor or any of their Affiliates (other than the Borrower) in excess of $25,000,000 shall be deemed to be material.</w:t>
      </w:r>
    </w:p>
    <w:p>
      <w:pPr>
        <w:spacing w:after="0" w:line="74" w:lineRule="exact"/>
        <w:rPr>
          <w:rFonts w:ascii="Arial" w:cs="Arial" w:eastAsia="Arial" w:hAnsi="Arial"/>
          <w:sz w:val="17"/>
          <w:szCs w:val="17"/>
          <w:color w:val="auto"/>
        </w:rPr>
      </w:pPr>
    </w:p>
    <w:p>
      <w:pPr>
        <w:ind w:right="60" w:firstLine="989"/>
        <w:spacing w:after="0" w:line="262" w:lineRule="auto"/>
        <w:tabs>
          <w:tab w:leader="none" w:pos="121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Notice of ERISA Reportable Events</w:t>
      </w:r>
      <w:r>
        <w:rPr>
          <w:rFonts w:ascii="Arial" w:cs="Arial" w:eastAsia="Arial" w:hAnsi="Arial"/>
          <w:sz w:val="18"/>
          <w:szCs w:val="18"/>
          <w:color w:val="auto"/>
        </w:rPr>
        <w:t>. The Borrower shall promptly notify the Administrative Agent after receiving notice of the occurrence of any Reportable Event with respect to any Pension Plan except as would not reasonably be expected to result in a Material Adverse Effect, and provide the Administrative Agent with a copy of such notice.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60" w:top="273" w:right="479" w:bottom="1440" w:gutter="0" w:footer="0" w:header="0"/>
        </w:sectPr>
      </w:pPr>
    </w:p>
    <w:bookmarkStart w:id="186" w:name="page187"/>
    <w:bookmarkEnd w:id="186"/>
    <w:p>
      <w:pPr>
        <w:ind w:left="-40" w:right="280" w:firstLine="989"/>
        <w:spacing w:after="0" w:line="275" w:lineRule="auto"/>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Notice of Accounting Changes</w:t>
      </w:r>
      <w:r>
        <w:rPr>
          <w:rFonts w:ascii="Arial" w:cs="Arial" w:eastAsia="Arial" w:hAnsi="Arial"/>
          <w:sz w:val="18"/>
          <w:szCs w:val="18"/>
          <w:color w:val="auto"/>
        </w:rPr>
        <w:t>. As soon as possible and in any event within three Business Days after the effective date thereof, the Borrower will provide to the Administrative Agent notice of any change in the accounting policies of the Borrower.</w:t>
      </w:r>
    </w:p>
    <w:p>
      <w:pPr>
        <w:spacing w:after="0" w:line="63" w:lineRule="exact"/>
        <w:rPr>
          <w:rFonts w:ascii="Arial" w:cs="Arial" w:eastAsia="Arial" w:hAnsi="Arial"/>
          <w:sz w:val="18"/>
          <w:szCs w:val="18"/>
          <w:color w:val="auto"/>
        </w:rPr>
      </w:pPr>
    </w:p>
    <w:p>
      <w:pPr>
        <w:ind w:left="-40" w:right="340" w:firstLine="989"/>
        <w:spacing w:after="0" w:line="275" w:lineRule="auto"/>
        <w:tabs>
          <w:tab w:leader="none" w:pos="1161"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The Borrower shall provide the Administrative Agent with copies of such documents as the Administrative Agent may reasonably request evidencing the truthfulness of the representations set forth in this Agreement.</w:t>
      </w:r>
    </w:p>
    <w:p>
      <w:pPr>
        <w:spacing w:after="0" w:line="63" w:lineRule="exact"/>
        <w:rPr>
          <w:rFonts w:ascii="Arial" w:cs="Arial" w:eastAsia="Arial" w:hAnsi="Arial"/>
          <w:sz w:val="18"/>
          <w:szCs w:val="18"/>
          <w:color w:val="auto"/>
        </w:rPr>
      </w:pPr>
    </w:p>
    <w:p>
      <w:pPr>
        <w:ind w:left="-40" w:firstLine="989"/>
        <w:spacing w:after="0" w:line="283" w:lineRule="auto"/>
        <w:tabs>
          <w:tab w:leader="none" w:pos="1200"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Protection of Security Interest</w:t>
      </w:r>
      <w:r>
        <w:rPr>
          <w:rFonts w:ascii="Arial" w:cs="Arial" w:eastAsia="Arial" w:hAnsi="Arial"/>
          <w:sz w:val="16"/>
          <w:szCs w:val="16"/>
          <w:color w:val="auto"/>
        </w:rPr>
        <w:t>. With respect to the Collateral Portfolio acquired by the Borrower, the Borrower will (i) acquire such Collateral Portfolio pursuant to and in accordance with the terms of the Contribution Agreement, (ii) at the expense of the Servicer, on behalf of the Borrower take all action necessary to perfect, protect and more fully evidence the Borrower’s ownership of such Collateral Portfolio free and clear of any Lien other than the Lien created hereunder and Permitted Liens, including, without limitation, (a) with respect to the Loan Assets and that portion of the Collateral Portfolio in which a security interest may be perfected by filing, filing and maintaining (at the expense of the Servicer, on behalf of the Borrower) effective financing statements against the Transferor in all necessary or appropriate filing offices, (including any amendments thereto or assignments thereof) and filing continuation statements, amendments or assignments with respect thereto in such filing offices, (including any amendments thereto or assignments thereof) and (b) executing or causing to be executed such other instruments or notices as may be necessary or appropriate, (iii) at the expense of the Servicer, on behalf of the Borrower, take all action necessary to cause a valid, subsisting and enforceable first priority perfected security interest, subject only to Permitted Liens, to exist in favor of the Collateral Agent (for the benefit of the Secured Parties) in the Borrower’s interests in all of the Collateral Portfolio being Pledged hereunder including the filing of a UCC financing statement in the applicable jurisdiction adequately describing the Collateral Portfolio (which may include an “all asset” filing), and naming the Borrower as debtor and the Collateral Agent as the secured party, and filing continuation statements, amendments or assignments with respect thereto in such filing offices (including any amendments thereto or assignments thereof), (iv) permit the Administrative Agent or its agents or representatives to visit the offices of the Borrower during normal office hours and upon reasonable advance notice examine and make copies of all documents, books, records and other information concerning the Collateral Portfolio and discuss matters related thereto with any of the officers or employees of the Borrower having knowledge of such matters, and (v) take all additional action that the Administrative Agent or the Collateral Agent may reasonably request to perfect, protect and more fully evidence the respective first priority perfected security interests of the parties to this Agreement in the Collateral Portfolio, or to enable the Administrative Agent or the Collateral Agent to exercise or enforce any of their respective rights hereunder.</w:t>
      </w:r>
    </w:p>
    <w:p>
      <w:pPr>
        <w:spacing w:after="0" w:line="70" w:lineRule="exact"/>
        <w:rPr>
          <w:rFonts w:ascii="Arial" w:cs="Arial" w:eastAsia="Arial" w:hAnsi="Arial"/>
          <w:sz w:val="16"/>
          <w:szCs w:val="16"/>
          <w:color w:val="auto"/>
        </w:rPr>
      </w:pPr>
    </w:p>
    <w:p>
      <w:pPr>
        <w:jc w:val="both"/>
        <w:ind w:left="-40" w:right="20" w:firstLine="989"/>
        <w:spacing w:after="0" w:line="262" w:lineRule="auto"/>
        <w:tabs>
          <w:tab w:leader="none" w:pos="120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 Borrower will promptly notify the Administrative Agent of the existence of any Lien on the Collateral Portfolio (other than Permitted Liens) and the Borrower shall defend the right, title and interest of the Collateral Agent, for the benefit of the Secured Parties, in, to and under the Collateral Portfolio against all claims of third parties.</w:t>
      </w:r>
    </w:p>
    <w:p>
      <w:pPr>
        <w:spacing w:after="0" w:line="74" w:lineRule="exact"/>
        <w:rPr>
          <w:rFonts w:ascii="Arial" w:cs="Arial" w:eastAsia="Arial" w:hAnsi="Arial"/>
          <w:sz w:val="18"/>
          <w:szCs w:val="18"/>
          <w:color w:val="auto"/>
        </w:rPr>
      </w:pPr>
    </w:p>
    <w:p>
      <w:pPr>
        <w:ind w:left="-40" w:right="280" w:firstLine="989"/>
        <w:spacing w:after="0" w:line="262" w:lineRule="auto"/>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At any time from time to time upon prior written request of the Administrative Agent, at the sole expense of the Borrower, the Borrower will promptly and duly execute and deliver such further instruments and documents and take such further actions as the Administrative Agent may reasonably request for the purposes of obtaining or preserving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00"/>
          </w:cols>
          <w:pgMar w:left="500" w:top="273" w:right="499" w:bottom="1440" w:gutter="0" w:footer="0" w:header="0"/>
        </w:sectPr>
      </w:pPr>
    </w:p>
    <w:bookmarkStart w:id="187" w:name="page188"/>
    <w:bookmarkEnd w:id="18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full benefits of this Agreement including the first priority security interest (subject only to Permitted Liens) granted hereunder and of the rights and powers herein granted (including, among other things, authorizing the filing of such UCC financing statements as the Administrative Agent may request) and provide any and all additional information requested by the Administrative Agent or any Lender that is reasonably available to it and reasonably required for compliance with the requests, rules, guidelines or directives promulgated by the Bank of International Settlements, the Basel Committee on Banking Supervision (or any successor or similar authority) or the United States or foreign regulatory authorities, in each case pursuant to Basel II or Basel III.</w:t>
      </w:r>
    </w:p>
    <w:p>
      <w:pPr>
        <w:spacing w:after="0" w:line="83" w:lineRule="exact"/>
        <w:rPr>
          <w:sz w:val="20"/>
          <w:szCs w:val="20"/>
          <w:color w:val="auto"/>
        </w:rPr>
      </w:pPr>
    </w:p>
    <w:p>
      <w:pPr>
        <w:ind w:firstLine="989"/>
        <w:spacing w:after="0" w:line="258" w:lineRule="auto"/>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xml:space="preserve">. The Borrower shall at all times comply in all material respects with all Applicable Law applicable to Borrower or any of its assets (including, without limitation, Environmental Laws, the Applicable Laws set forth in </w:t>
      </w:r>
      <w:r>
        <w:rPr>
          <w:rFonts w:ascii="Arial" w:cs="Arial" w:eastAsia="Arial" w:hAnsi="Arial"/>
          <w:sz w:val="18"/>
          <w:szCs w:val="18"/>
          <w:u w:val="single" w:color="auto"/>
          <w:color w:val="auto"/>
        </w:rPr>
        <w:t>Section 4.01(qq)</w:t>
      </w:r>
      <w:r>
        <w:rPr>
          <w:rFonts w:ascii="Arial" w:cs="Arial" w:eastAsia="Arial" w:hAnsi="Arial"/>
          <w:sz w:val="18"/>
          <w:szCs w:val="18"/>
          <w:color w:val="auto"/>
        </w:rPr>
        <w:t>, and all federal securities laws), and Borrower shall do or cause to be done all things necessary to preserve and maintain in full force and effect its legal existence, and all licenses material to its business.</w:t>
      </w:r>
    </w:p>
    <w:p>
      <w:pPr>
        <w:spacing w:after="0" w:line="77" w:lineRule="exact"/>
        <w:rPr>
          <w:rFonts w:ascii="Arial" w:cs="Arial" w:eastAsia="Arial" w:hAnsi="Arial"/>
          <w:sz w:val="18"/>
          <w:szCs w:val="18"/>
          <w:color w:val="auto"/>
        </w:rPr>
      </w:pPr>
    </w:p>
    <w:p>
      <w:pPr>
        <w:ind w:right="120" w:firstLine="989"/>
        <w:spacing w:after="0" w:line="255" w:lineRule="auto"/>
        <w:tabs>
          <w:tab w:leader="none" w:pos="12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Proper Records</w:t>
      </w:r>
      <w:r>
        <w:rPr>
          <w:rFonts w:ascii="Arial" w:cs="Arial" w:eastAsia="Arial" w:hAnsi="Arial"/>
          <w:sz w:val="18"/>
          <w:szCs w:val="18"/>
          <w:color w:val="auto"/>
        </w:rPr>
        <w:t>. The Borrower shall at all times keep proper books of records and accounts in which full, true and correct entries shall be made of its transactions in accordance with GAAP and set aside on its books from its earning for each fiscal year all such proper reserves in accordance with GAAP. The Borrower shall account for transfers to it from the Transfer of Loan Assets under the Contribution Agreement as contributions of such Loan Assets in its books, records and financial statements (although the financial statements of the Borrower and Transferor may be consolidated), in each case consistent with GAAP.</w:t>
      </w:r>
    </w:p>
    <w:p>
      <w:pPr>
        <w:spacing w:after="0" w:line="82" w:lineRule="exact"/>
        <w:rPr>
          <w:rFonts w:ascii="Arial" w:cs="Arial" w:eastAsia="Arial" w:hAnsi="Arial"/>
          <w:sz w:val="18"/>
          <w:szCs w:val="18"/>
          <w:color w:val="auto"/>
        </w:rPr>
      </w:pPr>
    </w:p>
    <w:p>
      <w:pPr>
        <w:ind w:right="240" w:firstLine="989"/>
        <w:spacing w:after="0" w:line="284" w:lineRule="auto"/>
        <w:tabs>
          <w:tab w:leader="none" w:pos="1230" w:val="left"/>
        </w:tabs>
        <w:numPr>
          <w:ilvl w:val="0"/>
          <w:numId w:val="168"/>
        </w:numPr>
        <w:rPr>
          <w:rFonts w:ascii="Arial" w:cs="Arial" w:eastAsia="Arial" w:hAnsi="Arial"/>
          <w:sz w:val="17"/>
          <w:szCs w:val="17"/>
          <w:color w:val="auto"/>
        </w:rPr>
      </w:pPr>
      <w:r>
        <w:rPr>
          <w:rFonts w:ascii="Arial" w:cs="Arial" w:eastAsia="Arial" w:hAnsi="Arial"/>
          <w:sz w:val="17"/>
          <w:szCs w:val="17"/>
          <w:u w:val="single" w:color="auto"/>
          <w:color w:val="auto"/>
        </w:rPr>
        <w:t>Satisfaction of Obligations</w:t>
      </w:r>
      <w:r>
        <w:rPr>
          <w:rFonts w:ascii="Arial" w:cs="Arial" w:eastAsia="Arial" w:hAnsi="Arial"/>
          <w:sz w:val="17"/>
          <w:szCs w:val="17"/>
          <w:color w:val="auto"/>
        </w:rPr>
        <w:t>. The Borrower shall pay, discharge or otherwise satisfy at or before maturity or before they become delinquent, as the case may be, all its obligations of whatever nature, except where the amount or validity thereof is currently being contested in good faith by appropriate proceedings and reserves with respect thereto have been provided on the books of the Borrower.</w:t>
      </w:r>
    </w:p>
    <w:p>
      <w:pPr>
        <w:spacing w:after="0" w:line="59" w:lineRule="exact"/>
        <w:rPr>
          <w:sz w:val="20"/>
          <w:szCs w:val="20"/>
          <w:color w:val="auto"/>
        </w:rPr>
      </w:pPr>
    </w:p>
    <w:p>
      <w:pPr>
        <w:ind w:right="60" w:firstLine="989"/>
        <w:spacing w:after="0" w:line="254" w:lineRule="auto"/>
        <w:tabs>
          <w:tab w:leader="none" w:pos="131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The Borrower shall observe, perform and satisfy all the material terms, provisions, covenants and conditions required to be observed, performed or satisfied by it, and shall pay when due all costs, fees and expenses required to be paid by it, under the Transaction Documents. The Borrower shall pay and discharge all Taxes, levies, liens and other charges on it or its assets and on the Collateral Portfolio that, in each case, in any manner would create any lien or charge upon the Collateral Portfolio, except for any such Taxes as are being appropriately contested in good faith by appropriate proceedings diligently conducted and with respect to which adequate reserves have been provided in accordance with GAAP.</w:t>
      </w:r>
    </w:p>
    <w:p>
      <w:pPr>
        <w:spacing w:after="0" w:line="83" w:lineRule="exact"/>
        <w:rPr>
          <w:rFonts w:ascii="Arial" w:cs="Arial" w:eastAsia="Arial" w:hAnsi="Arial"/>
          <w:sz w:val="18"/>
          <w:szCs w:val="18"/>
          <w:color w:val="auto"/>
        </w:rPr>
      </w:pPr>
    </w:p>
    <w:p>
      <w:pPr>
        <w:ind w:right="100" w:firstLine="989"/>
        <w:spacing w:after="0" w:line="310" w:lineRule="auto"/>
        <w:tabs>
          <w:tab w:leader="none" w:pos="1330"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Tax Treatment</w:t>
      </w:r>
      <w:r>
        <w:rPr>
          <w:rFonts w:ascii="Arial" w:cs="Arial" w:eastAsia="Arial" w:hAnsi="Arial"/>
          <w:sz w:val="16"/>
          <w:szCs w:val="16"/>
          <w:color w:val="auto"/>
        </w:rPr>
        <w:t>. The Borrower, the Transferor and the Lenders shall treat the Advances advanced hereunder as indebtedness of the Borrower (or, so long as the Borrower is treated as a disregarded entity for U.S. federal income tax purposes, as indebtedness of the entity of which it is considered to be a part) for U.S. federal income tax purposes and to file any and all tax forms in a manner consistent therewith.</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60"/>
          </w:cols>
          <w:pgMar w:left="460" w:top="273" w:right="479" w:bottom="1440" w:gutter="0" w:footer="0" w:header="0"/>
        </w:sectPr>
      </w:pPr>
    </w:p>
    <w:bookmarkStart w:id="188" w:name="page189"/>
    <w:bookmarkEnd w:id="188"/>
    <w:p>
      <w:pPr>
        <w:ind w:firstLine="989"/>
        <w:spacing w:after="0" w:line="258" w:lineRule="auto"/>
        <w:tabs>
          <w:tab w:leader="none" w:pos="131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Maintenance of Records</w:t>
      </w:r>
      <w:r>
        <w:rPr>
          <w:rFonts w:ascii="Arial" w:cs="Arial" w:eastAsia="Arial" w:hAnsi="Arial"/>
          <w:sz w:val="18"/>
          <w:szCs w:val="18"/>
          <w:color w:val="auto"/>
        </w:rPr>
        <w:t>. The Borrower will maintain records with respect to the Collateral Portfolio and the conduct and operation of its business with no less a degree of prudence than if the Collateral Portfolio were held by the Borrower for its own account and will furnish the Administrative Agent, upon the reasonable request by the Administrative Agent, information with respect to the Collateral Portfolio and the conduct and operation of its business.</w:t>
      </w:r>
    </w:p>
    <w:p>
      <w:pPr>
        <w:spacing w:after="0" w:line="77" w:lineRule="exact"/>
        <w:rPr>
          <w:rFonts w:ascii="Arial" w:cs="Arial" w:eastAsia="Arial" w:hAnsi="Arial"/>
          <w:sz w:val="18"/>
          <w:szCs w:val="18"/>
          <w:color w:val="auto"/>
        </w:rPr>
      </w:pPr>
    </w:p>
    <w:p>
      <w:pPr>
        <w:ind w:firstLine="989"/>
        <w:spacing w:after="0" w:line="277" w:lineRule="auto"/>
        <w:tabs>
          <w:tab w:leader="none" w:pos="1330" w:val="left"/>
        </w:tabs>
        <w:numPr>
          <w:ilvl w:val="1"/>
          <w:numId w:val="170"/>
        </w:numPr>
        <w:rPr>
          <w:rFonts w:ascii="Arial" w:cs="Arial" w:eastAsia="Arial" w:hAnsi="Arial"/>
          <w:sz w:val="17"/>
          <w:szCs w:val="17"/>
          <w:color w:val="auto"/>
        </w:rPr>
      </w:pPr>
      <w:r>
        <w:rPr>
          <w:rFonts w:ascii="Arial" w:cs="Arial" w:eastAsia="Arial" w:hAnsi="Arial"/>
          <w:sz w:val="17"/>
          <w:szCs w:val="17"/>
          <w:u w:val="single" w:color="auto"/>
          <w:color w:val="auto"/>
        </w:rPr>
        <w:t>Obligor Notification Forms</w:t>
      </w:r>
      <w:r>
        <w:rPr>
          <w:rFonts w:ascii="Arial" w:cs="Arial" w:eastAsia="Arial" w:hAnsi="Arial"/>
          <w:sz w:val="17"/>
          <w:szCs w:val="17"/>
          <w:color w:val="auto"/>
        </w:rPr>
        <w:t>. The Borrower shall furnish the Collateral Agent and the Administrative Agent with an appropriate power of attorney to send (at the Administrative Agent’s discretion on the Collateral Agent’s behalf, after the occurrence and during the continuance of an Event of Default or the Facility Maturity Date) Obligor notification forms to give notice to the Obligors of the Collateral Agent’s interest in the Collateral Portfolio and the obligation to make payments as directed by the Administrative Agent on the Collateral Agent’s behalf.</w:t>
      </w:r>
    </w:p>
    <w:p>
      <w:pPr>
        <w:spacing w:after="0" w:line="65" w:lineRule="exact"/>
        <w:rPr>
          <w:rFonts w:ascii="Arial" w:cs="Arial" w:eastAsia="Arial" w:hAnsi="Arial"/>
          <w:sz w:val="17"/>
          <w:szCs w:val="17"/>
          <w:color w:val="auto"/>
        </w:rPr>
      </w:pPr>
    </w:p>
    <w:p>
      <w:pPr>
        <w:ind w:firstLine="989"/>
        <w:spacing w:after="0" w:line="255" w:lineRule="auto"/>
        <w:tabs>
          <w:tab w:leader="none" w:pos="1310"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On each anniversary of the date of this Agreement, the Borrower shall deliver an Officer’s Certificate, in form and substance acceptable to the Administrative Agent, providing (i) a certification, based upon a review and summary of UCC search results, that there is no other interest in the Collateral Portfolio perfected by filing of a UCC financing statement other than in favor of the Collateral Agent and (ii) a certification, based upon a review and summary of tax and judgment lien searches satisfactory to the Administrative Agent, that there is no other interest in the Collateral Portfolio based on any tax or judgment lien.</w:t>
      </w:r>
    </w:p>
    <w:p>
      <w:pPr>
        <w:spacing w:after="0" w:line="82" w:lineRule="exact"/>
        <w:rPr>
          <w:rFonts w:ascii="Arial" w:cs="Arial" w:eastAsia="Arial" w:hAnsi="Arial"/>
          <w:sz w:val="18"/>
          <w:szCs w:val="18"/>
          <w:color w:val="auto"/>
        </w:rPr>
      </w:pPr>
    </w:p>
    <w:p>
      <w:pPr>
        <w:ind w:right="80" w:firstLine="989"/>
        <w:spacing w:after="0" w:line="262" w:lineRule="auto"/>
        <w:tabs>
          <w:tab w:leader="none" w:pos="1267"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Continuation Statements</w:t>
      </w:r>
      <w:r>
        <w:rPr>
          <w:rFonts w:ascii="Arial" w:cs="Arial" w:eastAsia="Arial" w:hAnsi="Arial"/>
          <w:sz w:val="18"/>
          <w:szCs w:val="18"/>
          <w:color w:val="auto"/>
        </w:rPr>
        <w:t xml:space="preserve">. The Borrower shall, not earlier than six months and not later than three months prior to the fifth anniversary of the date of filing of the financing statement referred to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or any other financing statement filed pursuant to this Agreement or in connection with any Advance hereunder, unless the Collection Date shall have occurred:</w:t>
      </w:r>
    </w:p>
    <w:p>
      <w:pPr>
        <w:spacing w:after="0" w:line="74" w:lineRule="exact"/>
        <w:rPr>
          <w:rFonts w:ascii="Arial" w:cs="Arial" w:eastAsia="Arial" w:hAnsi="Arial"/>
          <w:sz w:val="18"/>
          <w:szCs w:val="18"/>
          <w:color w:val="auto"/>
        </w:rPr>
      </w:pPr>
    </w:p>
    <w:p>
      <w:pPr>
        <w:ind w:left="1080" w:hanging="219"/>
        <w:spacing w:after="0"/>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authorize and deliver and file or cause to be filed an appropriate continuation statement with respect to such financing statement; and</w:t>
      </w:r>
    </w:p>
    <w:p>
      <w:pPr>
        <w:spacing w:after="0" w:line="138" w:lineRule="exact"/>
        <w:rPr>
          <w:rFonts w:ascii="Arial" w:cs="Arial" w:eastAsia="Arial" w:hAnsi="Arial"/>
          <w:sz w:val="16"/>
          <w:szCs w:val="16"/>
          <w:color w:val="auto"/>
        </w:rPr>
      </w:pPr>
    </w:p>
    <w:p>
      <w:pPr>
        <w:ind w:left="440" w:firstLine="421"/>
        <w:spacing w:after="0" w:line="255" w:lineRule="auto"/>
        <w:tabs>
          <w:tab w:leader="none" w:pos="112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deliver or cause to be delivered to the Collateral Agent and the Administrative Agent an opinion of the counsel for the Borrower, in form and substance reasonably satisfactory to the Administrative Agent, confirming and updating the opinion delivered pursuant to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with respect to perfection and otherwise to the effect that the security interest hereunder continues to be an enforceable and perfected security interest, subject to no other Liens of record except as provided herein or otherwise permitted hereunder, which opinion may contain usual and customary assumptions, limitations and exceptions.</w:t>
      </w:r>
    </w:p>
    <w:p>
      <w:pPr>
        <w:spacing w:after="0" w:line="82" w:lineRule="exact"/>
        <w:rPr>
          <w:rFonts w:ascii="Arial" w:cs="Arial" w:eastAsia="Arial" w:hAnsi="Arial"/>
          <w:sz w:val="18"/>
          <w:szCs w:val="18"/>
          <w:color w:val="auto"/>
        </w:rPr>
      </w:pPr>
    </w:p>
    <w:p>
      <w:pPr>
        <w:ind w:left="1340" w:hanging="351"/>
        <w:spacing w:after="0"/>
        <w:tabs>
          <w:tab w:leader="none" w:pos="1340" w:val="left"/>
        </w:tabs>
        <w:numPr>
          <w:ilvl w:val="1"/>
          <w:numId w:val="171"/>
        </w:numPr>
        <w:rPr>
          <w:rFonts w:ascii="Arial" w:cs="Arial" w:eastAsia="Arial" w:hAnsi="Arial"/>
          <w:sz w:val="17"/>
          <w:szCs w:val="17"/>
          <w:color w:val="auto"/>
        </w:rPr>
      </w:pPr>
      <w:r>
        <w:rPr>
          <w:rFonts w:ascii="Arial" w:cs="Arial" w:eastAsia="Arial" w:hAnsi="Arial"/>
          <w:sz w:val="17"/>
          <w:szCs w:val="17"/>
          <w:u w:val="single" w:color="auto"/>
          <w:color w:val="auto"/>
        </w:rPr>
        <w:t>Disregarded Entity</w:t>
      </w:r>
      <w:r>
        <w:rPr>
          <w:rFonts w:ascii="Arial" w:cs="Arial" w:eastAsia="Arial" w:hAnsi="Arial"/>
          <w:sz w:val="17"/>
          <w:szCs w:val="17"/>
          <w:color w:val="auto"/>
        </w:rPr>
        <w:t>. The Borrower will be disregarded as an entity separate from its owner pursuant to Treasury Regulation</w:t>
      </w:r>
    </w:p>
    <w:p>
      <w:pPr>
        <w:spacing w:after="0" w:line="34" w:lineRule="exact"/>
        <w:rPr>
          <w:sz w:val="20"/>
          <w:szCs w:val="20"/>
          <w:color w:val="auto"/>
        </w:rPr>
      </w:pPr>
    </w:p>
    <w:p>
      <w:pPr>
        <w:ind w:right="680"/>
        <w:spacing w:after="0" w:line="253" w:lineRule="auto"/>
        <w:rPr>
          <w:sz w:val="20"/>
          <w:szCs w:val="20"/>
          <w:color w:val="auto"/>
        </w:rPr>
      </w:pPr>
      <w:r>
        <w:rPr>
          <w:rFonts w:ascii="Arial" w:cs="Arial" w:eastAsia="Arial" w:hAnsi="Arial"/>
          <w:sz w:val="18"/>
          <w:szCs w:val="18"/>
          <w:color w:val="auto"/>
        </w:rPr>
        <w:t>Section 301.7701-3(b), and neither the Borrower nor any other Person on its behalf shall make an election to be, or take any other action that is reasonably likely to result in the Borrower being, treated as other than an entity disregarded from its owner under Treasury Regulation Section 301.7701-3(c).</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40"/>
          </w:cols>
          <w:pgMar w:left="460" w:top="273" w:right="499" w:bottom="1440" w:gutter="0" w:footer="0" w:header="0"/>
        </w:sectPr>
      </w:pPr>
    </w:p>
    <w:bookmarkStart w:id="189" w:name="page190"/>
    <w:bookmarkEnd w:id="189"/>
    <w:p>
      <w:pPr>
        <w:ind w:firstLine="989"/>
        <w:spacing w:after="0" w:line="287" w:lineRule="auto"/>
        <w:tabs>
          <w:tab w:leader="none" w:pos="133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Audits</w:t>
      </w:r>
      <w:r>
        <w:rPr>
          <w:rFonts w:ascii="Arial" w:cs="Arial" w:eastAsia="Arial" w:hAnsi="Arial"/>
          <w:sz w:val="16"/>
          <w:szCs w:val="16"/>
          <w:color w:val="auto"/>
        </w:rPr>
        <w:t>. Annually (or more frequently as the Administrative Agent, for itself and as agent for the Lenders may require after the occurrence of and during the continuance of an Event of Default) and at the sole cost and expense of the Borrower (i) cause an independent nationally recognized accounting firm or an independent audit and consulting firm specializing in securitization transactions reasonably satisfactory to the Administrative Agent, to enter the premises of the Borrower and any Person to whom the Borrower delegates all or any portion of its duties under any Transaction Document to which it is a party and examine and audit the books, records and accounts of the Borrower and such other Person relating to its business, financial condition, operations and the Borrower’s and such other Person’s performance under the Transaction Documents to which it is a party, (ii) permit such firm to discuss the Borrower’s and such other Person’s affairs and finances with the officers, partners, employees and accountants of any of them, (iii) cause such firm to provide to the Administrative Agent and each Lender Agent, with a report in respect of the foregoing, which shall be in form and scope reasonably satisfactory to the Administrative Agent, and (iv) authorize such firm to discuss such affairs, finances and performance with representatives of the Administrative Agent and Lender Agent and their designees.</w:t>
      </w:r>
    </w:p>
    <w:p>
      <w:pPr>
        <w:spacing w:after="0" w:line="57" w:lineRule="exact"/>
        <w:rPr>
          <w:rFonts w:ascii="Arial" w:cs="Arial" w:eastAsia="Arial" w:hAnsi="Arial"/>
          <w:sz w:val="16"/>
          <w:szCs w:val="16"/>
          <w:color w:val="auto"/>
        </w:rPr>
      </w:pPr>
    </w:p>
    <w:p>
      <w:pPr>
        <w:ind w:right="60" w:firstLine="989"/>
        <w:spacing w:after="0" w:line="285" w:lineRule="auto"/>
        <w:tabs>
          <w:tab w:leader="none" w:pos="125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Access to Records</w:t>
      </w:r>
      <w:r>
        <w:rPr>
          <w:rFonts w:ascii="Arial" w:cs="Arial" w:eastAsia="Arial" w:hAnsi="Arial"/>
          <w:sz w:val="16"/>
          <w:szCs w:val="16"/>
          <w:color w:val="auto"/>
        </w:rPr>
        <w:t xml:space="preserve">. Annually (or more frequently as the Administrative Agent, for itself and as agent for the Lenders may require after the occurrence of and during the continuance of a Default or an Event of Default) permit the Administrative Agent, the Lender Agents or any Person designated by the Administrative Agent or the Lender Agents to, upon reasonable advance notice and during normal hours, visit and inspect at reasonable intervals its and any Person to which it delegates any of its duties under the Transaction Documents to which it is a party books, records and accounts relating to its business, financial condition, operations, assets and its performance under the Transaction Documents to which it is a party and to discuss the foregoing with its and such Person’s officers, partners, employees and accountants, all as often as the Administrative Agent or the Lender Agents, as the case may be,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Lender Agents shall use all reasonable efforts to coordinate their inspections;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under the terms of any agreement with any Person which is not an Affiliate of the Borrower or Transferor to whom the Borrower has delegated any of its duties under any Transaction Document, only the Borrower or the Transferor, as the case may be, is permitted to visit and inspect such Person’s books, records and accounts, it shall at the request of the Administrative Agent or any Lender Agent, exercise or cause the Transferor or the Borrower, as the case may be, to exercise the rights specified in this </w:t>
      </w:r>
      <w:r>
        <w:rPr>
          <w:rFonts w:ascii="Arial" w:cs="Arial" w:eastAsia="Arial" w:hAnsi="Arial"/>
          <w:sz w:val="16"/>
          <w:szCs w:val="16"/>
          <w:u w:val="single" w:color="auto"/>
          <w:color w:val="auto"/>
        </w:rPr>
        <w:t>Section 5.01(ii)</w:t>
      </w:r>
      <w:r>
        <w:rPr>
          <w:rFonts w:ascii="Arial" w:cs="Arial" w:eastAsia="Arial" w:hAnsi="Arial"/>
          <w:sz w:val="16"/>
          <w:szCs w:val="16"/>
          <w:color w:val="auto"/>
        </w:rPr>
        <w:t xml:space="preserve"> on behalf of such requesting parties, as frequently as the terms of any such agreement permit, but in no event less frequently than annually.</w:t>
      </w:r>
    </w:p>
    <w:p>
      <w:pPr>
        <w:spacing w:after="0" w:line="65" w:lineRule="exact"/>
        <w:rPr>
          <w:rFonts w:ascii="Arial" w:cs="Arial" w:eastAsia="Arial" w:hAnsi="Arial"/>
          <w:sz w:val="16"/>
          <w:szCs w:val="16"/>
          <w:color w:val="auto"/>
        </w:rPr>
      </w:pPr>
    </w:p>
    <w:p>
      <w:pPr>
        <w:ind w:right="20" w:firstLine="989"/>
        <w:spacing w:after="0" w:line="284" w:lineRule="auto"/>
        <w:tabs>
          <w:tab w:leader="none" w:pos="125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Beneficial Ownership Regulation</w:t>
      </w:r>
      <w:r>
        <w:rPr>
          <w:rFonts w:ascii="Arial" w:cs="Arial" w:eastAsia="Arial" w:hAnsi="Arial"/>
          <w:sz w:val="17"/>
          <w:szCs w:val="17"/>
          <w:color w:val="auto"/>
        </w:rPr>
        <w:t>. Promptly following any request therefor, if the Borrower qualifies as a “legal entity customer” under the Beneficial Ownership Regulation, the Borrower shall deliver to the Administrative Agent information and documentation reasonably requested by the Administrative Agent or any Lender for purposes of compliance with the Beneficial Ownership Regulation.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60"/>
          </w:cols>
          <w:pgMar w:left="460" w:top="273" w:right="479" w:bottom="1440" w:gutter="0" w:footer="0" w:header="0"/>
        </w:sectPr>
      </w:pPr>
    </w:p>
    <w:bookmarkStart w:id="190" w:name="page191"/>
    <w:bookmarkEnd w:id="19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Negative Covenants of the Borrower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firstLine="989"/>
        <w:spacing w:after="0" w:line="290" w:lineRule="auto"/>
        <w:tabs>
          <w:tab w:leader="none" w:pos="123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Special Purpose Requirements</w:t>
      </w:r>
      <w:r>
        <w:rPr>
          <w:rFonts w:ascii="Arial" w:cs="Arial" w:eastAsia="Arial" w:hAnsi="Arial"/>
          <w:sz w:val="16"/>
          <w:szCs w:val="16"/>
          <w:color w:val="auto"/>
        </w:rPr>
        <w:t>. Except as otherwise permitted by this Agreement, the Borrower shall not (i) guarantee any obligation of any Person, including any Affiliate; (ii) engage, directly or indirectly, in any business, other than the actions to be performed under the Transaction Documents or with respect to the Loan Assets or, in each case, as may be necessary or appropriate in connection therewith; (iii) incur, create or assume any Indebtedness, other than Indebtedness incurred under the Transaction Documents; (iv) make or permit to remain outstanding any loan or advance to, or own or acquire any stock or securities of, any Person, except that the Borrower may invest in those Loan Assets and other investments permitted under the Transaction Documents; (v) become insolvent or fail to pay its debts and liabilities from its assets when due; (vi) create, form or otherwise acquire any Subsidiaries or (vii) release, sell, transfer, convey or assign any Loan Asset unless in accordance with the Transaction Documents.</w:t>
      </w:r>
    </w:p>
    <w:p>
      <w:pPr>
        <w:spacing w:after="0" w:line="56" w:lineRule="exact"/>
        <w:rPr>
          <w:rFonts w:ascii="Arial" w:cs="Arial" w:eastAsia="Arial" w:hAnsi="Arial"/>
          <w:sz w:val="16"/>
          <w:szCs w:val="16"/>
          <w:color w:val="auto"/>
        </w:rPr>
      </w:pPr>
    </w:p>
    <w:p>
      <w:pPr>
        <w:ind w:right="60" w:firstLine="989"/>
        <w:spacing w:after="0" w:line="253" w:lineRule="auto"/>
        <w:tabs>
          <w:tab w:leader="none" w:pos="124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Requirements for Material Actions</w:t>
      </w:r>
      <w:r>
        <w:rPr>
          <w:rFonts w:ascii="Arial" w:cs="Arial" w:eastAsia="Arial" w:hAnsi="Arial"/>
          <w:sz w:val="18"/>
          <w:szCs w:val="18"/>
          <w:color w:val="auto"/>
        </w:rPr>
        <w:t>. The Borrower shall at all times maintain at least one Independent Director, shall not fail to provide (and at all times the Borrower’s organizational documents shall reflect) that the unanimous consent of all members (including the consent of the Independent Director) is required for the Borrower to (i) dissolve or liquidate, in whole or part, or institute proceedings to be adjudicated bankrupt or insolvent, (ii) institute or consent to the institution of bankruptcy or insolvency proceedings against it, (iii) file a petition seeking or consent to reorganization or relief under any applicable federal or state law relating to bankruptcy or insolvency, (iv) seek or consent to the appointment of a receiver, liquidator, assignee, trustee, sequestrator, custodian or any similar official for the Borrower, (v) make any assignment for the benefit of the Borrower’s creditors, (vi) admit in writing its inability to pay its debts generally as they become due, or (vii) take any action in furtherance of any of the foregoing.</w:t>
      </w:r>
    </w:p>
    <w:p>
      <w:pPr>
        <w:spacing w:after="0" w:line="81" w:lineRule="exact"/>
        <w:rPr>
          <w:rFonts w:ascii="Arial" w:cs="Arial" w:eastAsia="Arial" w:hAnsi="Arial"/>
          <w:sz w:val="18"/>
          <w:szCs w:val="18"/>
          <w:color w:val="auto"/>
        </w:rPr>
      </w:pPr>
    </w:p>
    <w:p>
      <w:pPr>
        <w:ind w:right="300" w:firstLine="989"/>
        <w:spacing w:after="0" w:line="275" w:lineRule="auto"/>
        <w:tabs>
          <w:tab w:leader="none" w:pos="123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Protection of Title</w:t>
      </w:r>
      <w:r>
        <w:rPr>
          <w:rFonts w:ascii="Arial" w:cs="Arial" w:eastAsia="Arial" w:hAnsi="Arial"/>
          <w:sz w:val="18"/>
          <w:szCs w:val="18"/>
          <w:color w:val="auto"/>
        </w:rPr>
        <w:t>. The Borrower shall not take any action which would directly or indirectly impair or adversely affect Borrower’s title to the Collateral Portfolio.</w:t>
      </w:r>
    </w:p>
    <w:p>
      <w:pPr>
        <w:spacing w:after="0" w:line="63" w:lineRule="exact"/>
        <w:rPr>
          <w:rFonts w:ascii="Arial" w:cs="Arial" w:eastAsia="Arial" w:hAnsi="Arial"/>
          <w:sz w:val="18"/>
          <w:szCs w:val="18"/>
          <w:color w:val="auto"/>
        </w:rPr>
      </w:pPr>
    </w:p>
    <w:p>
      <w:pPr>
        <w:ind w:right="180" w:firstLine="989"/>
        <w:spacing w:after="0" w:line="300" w:lineRule="auto"/>
        <w:tabs>
          <w:tab w:leader="none" w:pos="124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Transfer Limitations</w:t>
      </w:r>
      <w:r>
        <w:rPr>
          <w:rFonts w:ascii="Arial" w:cs="Arial" w:eastAsia="Arial" w:hAnsi="Arial"/>
          <w:sz w:val="16"/>
          <w:szCs w:val="16"/>
          <w:color w:val="auto"/>
        </w:rPr>
        <w:t>. The Borrower shall not transfer, assign, convey, grant, bargain, sell, set over, deliver or otherwise dispose of, or pledge or hypothecate, directly or indirectly, any interest in the Collateral Portfolio to any person other than the Collateral Agent for the benefit of the Secured Parties, or engage in financing transactions or similar transactions with respect to the Collateral Portfolio with any person other than the Administrative Agent and the Lender Agents, in each case, except as otherwise expressly permitted by the terms of this Agreement.</w:t>
      </w:r>
    </w:p>
    <w:p>
      <w:pPr>
        <w:spacing w:after="0" w:line="47" w:lineRule="exact"/>
        <w:rPr>
          <w:rFonts w:ascii="Arial" w:cs="Arial" w:eastAsia="Arial" w:hAnsi="Arial"/>
          <w:sz w:val="16"/>
          <w:szCs w:val="16"/>
          <w:color w:val="auto"/>
        </w:rPr>
      </w:pPr>
    </w:p>
    <w:p>
      <w:pPr>
        <w:ind w:right="520" w:firstLine="989"/>
        <w:spacing w:after="0" w:line="275" w:lineRule="auto"/>
        <w:tabs>
          <w:tab w:leader="none" w:pos="123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create, incur or permit to exist any Lien in or on any of the Collateral Portfolio subject to the Lien granted by the Borrower pursuant to this Agreement, other than Permitted Liens.</w:t>
      </w:r>
    </w:p>
    <w:p>
      <w:pPr>
        <w:spacing w:after="0" w:line="63" w:lineRule="exact"/>
        <w:rPr>
          <w:rFonts w:ascii="Arial" w:cs="Arial" w:eastAsia="Arial" w:hAnsi="Arial"/>
          <w:sz w:val="18"/>
          <w:szCs w:val="18"/>
          <w:color w:val="auto"/>
        </w:rPr>
      </w:pPr>
    </w:p>
    <w:p>
      <w:pPr>
        <w:ind w:right="440" w:firstLine="989"/>
        <w:spacing w:after="0" w:line="275" w:lineRule="auto"/>
        <w:tabs>
          <w:tab w:leader="none" w:pos="121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The Borrower shall not modify or terminate any of the organizational or operational documents of the Borrower without the prior written consent of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60"/>
          </w:cols>
          <w:pgMar w:left="460" w:top="273" w:right="479" w:bottom="1440" w:gutter="0" w:footer="0" w:header="0"/>
        </w:sectPr>
      </w:pPr>
    </w:p>
    <w:bookmarkStart w:id="191" w:name="page192"/>
    <w:bookmarkEnd w:id="191"/>
    <w:p>
      <w:pPr>
        <w:ind w:left="-100" w:right="200" w:firstLine="989"/>
        <w:spacing w:after="0" w:line="310" w:lineRule="auto"/>
        <w:tabs>
          <w:tab w:leader="none" w:pos="11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Merger, Acquisitions, Sales, etc.</w:t>
      </w:r>
      <w:r>
        <w:rPr>
          <w:rFonts w:ascii="Arial" w:cs="Arial" w:eastAsia="Arial" w:hAnsi="Arial"/>
          <w:sz w:val="16"/>
          <w:szCs w:val="16"/>
          <w:color w:val="auto"/>
        </w:rPr>
        <w:t xml:space="preserve"> The Borrower shall not amend its certificate of formation or operating agreement, change its organizational structure, enter into any transaction of merger or consolidation or amalgamation, or asset sale (other than pursuant to </w:t>
      </w:r>
      <w:r>
        <w:rPr>
          <w:rFonts w:ascii="Arial" w:cs="Arial" w:eastAsia="Arial" w:hAnsi="Arial"/>
          <w:sz w:val="16"/>
          <w:szCs w:val="16"/>
          <w:u w:val="single" w:color="auto"/>
          <w:color w:val="auto"/>
        </w:rPr>
        <w:t>Section 2.07</w:t>
      </w:r>
      <w:r>
        <w:rPr>
          <w:rFonts w:ascii="Arial" w:cs="Arial" w:eastAsia="Arial" w:hAnsi="Arial"/>
          <w:sz w:val="16"/>
          <w:szCs w:val="16"/>
          <w:color w:val="auto"/>
        </w:rPr>
        <w:t>), or liquidate, wind up or dissolve itself (or suffer any liquidation, winding up or dissolution) without the prior written consent of the Majority Lenders.</w:t>
      </w:r>
    </w:p>
    <w:p>
      <w:pPr>
        <w:spacing w:after="0" w:line="39" w:lineRule="exact"/>
        <w:rPr>
          <w:rFonts w:ascii="Arial" w:cs="Arial" w:eastAsia="Arial" w:hAnsi="Arial"/>
          <w:sz w:val="16"/>
          <w:szCs w:val="16"/>
          <w:color w:val="auto"/>
        </w:rPr>
      </w:pPr>
    </w:p>
    <w:p>
      <w:pPr>
        <w:ind w:left="-100" w:right="140" w:firstLine="989"/>
        <w:spacing w:after="0" w:line="262"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shall not use the proceeds of any Advance other than to distribute such proceeds to the Transferor in connection with the contribution of an Eligible Loan Asset by the Transferor pursuant to the Contribution Agreement (so long as such distribution is permitted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100" w:right="260" w:firstLine="989"/>
        <w:spacing w:after="0" w:line="262" w:lineRule="auto"/>
        <w:tabs>
          <w:tab w:leader="none" w:pos="11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Limited Assets</w:t>
      </w:r>
      <w:r>
        <w:rPr>
          <w:rFonts w:ascii="Arial" w:cs="Arial" w:eastAsia="Arial" w:hAnsi="Arial"/>
          <w:sz w:val="18"/>
          <w:szCs w:val="18"/>
          <w:color w:val="auto"/>
        </w:rPr>
        <w:t xml:space="preserve">. The Borrower shall not hold or own any assets that are not part of the Collateral Portfolio or powers and rights incidental to the Transaction Documents other than Loan Assets sold, substituted, distributed or repurchased in accordance with the requirements of </w:t>
      </w:r>
      <w:r>
        <w:rPr>
          <w:rFonts w:ascii="Arial" w:cs="Arial" w:eastAsia="Arial" w:hAnsi="Arial"/>
          <w:sz w:val="18"/>
          <w:szCs w:val="18"/>
          <w:u w:val="single" w:color="auto"/>
          <w:color w:val="auto"/>
        </w:rPr>
        <w:t>Sections 2.07</w:t>
      </w:r>
      <w:r>
        <w:rPr>
          <w:rFonts w:ascii="Arial" w:cs="Arial" w:eastAsia="Arial" w:hAnsi="Arial"/>
          <w:sz w:val="18"/>
          <w:szCs w:val="18"/>
          <w:color w:val="auto"/>
        </w:rPr>
        <w:t>.</w:t>
      </w:r>
    </w:p>
    <w:p>
      <w:pPr>
        <w:spacing w:after="0" w:line="74" w:lineRule="exact"/>
        <w:rPr>
          <w:rFonts w:ascii="Arial" w:cs="Arial" w:eastAsia="Arial" w:hAnsi="Arial"/>
          <w:sz w:val="18"/>
          <w:szCs w:val="18"/>
          <w:color w:val="auto"/>
        </w:rPr>
      </w:pPr>
    </w:p>
    <w:p>
      <w:pPr>
        <w:ind w:left="-100" w:right="120" w:firstLine="989"/>
        <w:spacing w:after="0" w:line="262" w:lineRule="auto"/>
        <w:tabs>
          <w:tab w:leader="none" w:pos="11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 The Borrower shall not elect to be, or take any other action that is reasonably likely to result in the Borrower being, treated as a corporation for U.S. federal income tax purposes and shall take all steps necessary to avoid being treated as a corporation for U. S. federal income tax purposes.</w:t>
      </w:r>
    </w:p>
    <w:p>
      <w:pPr>
        <w:spacing w:after="0" w:line="74" w:lineRule="exact"/>
        <w:rPr>
          <w:rFonts w:ascii="Arial" w:cs="Arial" w:eastAsia="Arial" w:hAnsi="Arial"/>
          <w:sz w:val="18"/>
          <w:szCs w:val="18"/>
          <w:color w:val="auto"/>
        </w:rPr>
      </w:pPr>
    </w:p>
    <w:p>
      <w:pPr>
        <w:ind w:left="-100" w:right="200" w:firstLine="989"/>
        <w:spacing w:after="0" w:line="262" w:lineRule="auto"/>
        <w:tabs>
          <w:tab w:leader="none" w:pos="11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Extension or Amendment of Collateral Portfolio</w:t>
      </w:r>
      <w:r>
        <w:rPr>
          <w:rFonts w:ascii="Arial" w:cs="Arial" w:eastAsia="Arial" w:hAnsi="Arial"/>
          <w:sz w:val="18"/>
          <w:szCs w:val="18"/>
          <w:color w:val="auto"/>
        </w:rPr>
        <w:t xml:space="preserve">. The Borrower will not, except as otherwise permitted in </w:t>
      </w:r>
      <w:r>
        <w:rPr>
          <w:rFonts w:ascii="Arial" w:cs="Arial" w:eastAsia="Arial" w:hAnsi="Arial"/>
          <w:sz w:val="18"/>
          <w:szCs w:val="18"/>
          <w:u w:val="single" w:color="auto"/>
          <w:color w:val="auto"/>
        </w:rPr>
        <w:t>Section 6.04(a)</w:t>
      </w:r>
      <w:r>
        <w:rPr>
          <w:rFonts w:ascii="Arial" w:cs="Arial" w:eastAsia="Arial" w:hAnsi="Arial"/>
          <w:sz w:val="18"/>
          <w:szCs w:val="18"/>
          <w:color w:val="auto"/>
        </w:rPr>
        <w:t xml:space="preserve"> of this Agreement and in accordance with the Credit and Collection Policy and the Servicing Standard, extend, amend or otherwise modify the terms of any Loan Asset (including the Underlying Collateral).</w:t>
      </w:r>
    </w:p>
    <w:p>
      <w:pPr>
        <w:spacing w:after="0" w:line="74" w:lineRule="exact"/>
        <w:rPr>
          <w:rFonts w:ascii="Arial" w:cs="Arial" w:eastAsia="Arial" w:hAnsi="Arial"/>
          <w:sz w:val="18"/>
          <w:szCs w:val="18"/>
          <w:color w:val="auto"/>
        </w:rPr>
      </w:pPr>
    </w:p>
    <w:p>
      <w:pPr>
        <w:ind w:left="-100" w:right="380" w:firstLine="989"/>
        <w:spacing w:after="0" w:line="275" w:lineRule="auto"/>
        <w:tabs>
          <w:tab w:leader="none" w:pos="11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Borrower will not amend, modify, waive or terminate any provision of the Contribution Agreement without the prior written consent of the Administrative Agent.</w:t>
      </w:r>
    </w:p>
    <w:p>
      <w:pPr>
        <w:spacing w:after="0" w:line="63" w:lineRule="exact"/>
        <w:rPr>
          <w:rFonts w:ascii="Arial" w:cs="Arial" w:eastAsia="Arial" w:hAnsi="Arial"/>
          <w:sz w:val="18"/>
          <w:szCs w:val="18"/>
          <w:color w:val="auto"/>
        </w:rPr>
      </w:pPr>
    </w:p>
    <w:p>
      <w:pPr>
        <w:jc w:val="both"/>
        <w:ind w:left="-100" w:right="40" w:firstLine="989"/>
        <w:spacing w:after="0" w:line="262" w:lineRule="auto"/>
        <w:tabs>
          <w:tab w:leader="none" w:pos="119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Restricted Junior Payments</w:t>
      </w:r>
      <w:r>
        <w:rPr>
          <w:rFonts w:ascii="Arial" w:cs="Arial" w:eastAsia="Arial" w:hAnsi="Arial"/>
          <w:sz w:val="18"/>
          <w:szCs w:val="18"/>
          <w:color w:val="auto"/>
        </w:rPr>
        <w:t xml:space="preserve">. The Borrower shall not make any Restricted Junior Payment, except that, so long as no Event of Default or Unmatured Event of Default has occurred or would result therefrom and subject to the provisions of </w:t>
      </w:r>
      <w:r>
        <w:rPr>
          <w:rFonts w:ascii="Arial" w:cs="Arial" w:eastAsia="Arial" w:hAnsi="Arial"/>
          <w:sz w:val="18"/>
          <w:szCs w:val="18"/>
          <w:u w:val="single" w:color="auto"/>
          <w:color w:val="auto"/>
        </w:rPr>
        <w:t>Section 2.07(d)</w:t>
      </w:r>
      <w:r>
        <w:rPr>
          <w:rFonts w:ascii="Arial" w:cs="Arial" w:eastAsia="Arial" w:hAnsi="Arial"/>
          <w:sz w:val="18"/>
          <w:szCs w:val="18"/>
          <w:color w:val="auto"/>
        </w:rPr>
        <w:t>, the Borrower may declare and make distributions to its member on its membership interests.</w:t>
      </w:r>
    </w:p>
    <w:p>
      <w:pPr>
        <w:spacing w:after="0" w:line="74" w:lineRule="exact"/>
        <w:rPr>
          <w:rFonts w:ascii="Arial" w:cs="Arial" w:eastAsia="Arial" w:hAnsi="Arial"/>
          <w:sz w:val="18"/>
          <w:szCs w:val="18"/>
          <w:color w:val="auto"/>
        </w:rPr>
      </w:pPr>
    </w:p>
    <w:p>
      <w:pPr>
        <w:ind w:left="-100" w:firstLine="989"/>
        <w:spacing w:after="0" w:line="270" w:lineRule="auto"/>
        <w:tabs>
          <w:tab w:leader="none" w:pos="114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ERISA Matters</w:t>
      </w:r>
      <w:r>
        <w:rPr>
          <w:rFonts w:ascii="Arial" w:cs="Arial" w:eastAsia="Arial" w:hAnsi="Arial"/>
          <w:sz w:val="17"/>
          <w:szCs w:val="17"/>
          <w:color w:val="auto"/>
        </w:rPr>
        <w:t>. Except as would not reasonably be expected to result in a Material Adverse Effect, the Borrower will not (a) engage, and will exercise its best efforts not to permit any ERISA Affiliate of the Borrower to engage, in any prohibited transaction (within the meaning of ERISA Section 406(a) or (b) or Code Section 4975) for which an exemption is not available or has not previously been obtained from the United States Department of Labor, (b) fail to meet the minimum funding standard set forth in Section 302(a) of ERISA and Section 412(a) of the Code with respect to any Pension Plan, (c) fail to make any payments to a Multiemployer Plan that the Borrower may be required to make under the agreement relating to such Multiemployer Plan or any law pertaining thereto, (d) terminate any Pension Plan so as to result, directly or indirectly in any liability to the Borrower, or (e) permit to exist any occurrence of any Reportable Event with respect to any Pension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760"/>
          </w:cols>
          <w:pgMar w:left="560" w:top="273" w:right="579" w:bottom="1440" w:gutter="0" w:footer="0" w:header="0"/>
        </w:sectPr>
      </w:pPr>
    </w:p>
    <w:bookmarkStart w:id="192" w:name="page193"/>
    <w:bookmarkEnd w:id="192"/>
    <w:p>
      <w:pPr>
        <w:ind w:left="-20" w:right="400" w:firstLine="989"/>
        <w:spacing w:after="0" w:line="262" w:lineRule="auto"/>
        <w:tabs>
          <w:tab w:leader="none" w:pos="12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Instructions to Obligors</w:t>
      </w:r>
      <w:r>
        <w:rPr>
          <w:rFonts w:ascii="Arial" w:cs="Arial" w:eastAsia="Arial" w:hAnsi="Arial"/>
          <w:sz w:val="18"/>
          <w:szCs w:val="18"/>
          <w:color w:val="auto"/>
        </w:rPr>
        <w:t>. The Borrower will not make any change, or permit the Servicer to make any change, in its instructions to Obligors regarding payments to be made with respect to the Collateral Portfolio to the Collection Account, unless the Administrative Agent has consented to such change.</w:t>
      </w:r>
    </w:p>
    <w:p>
      <w:pPr>
        <w:spacing w:after="0" w:line="74" w:lineRule="exact"/>
        <w:rPr>
          <w:rFonts w:ascii="Arial" w:cs="Arial" w:eastAsia="Arial" w:hAnsi="Arial"/>
          <w:sz w:val="18"/>
          <w:szCs w:val="18"/>
          <w:color w:val="auto"/>
        </w:rPr>
      </w:pPr>
    </w:p>
    <w:p>
      <w:pPr>
        <w:ind w:left="-20" w:right="20" w:firstLine="989"/>
        <w:spacing w:after="0" w:line="262" w:lineRule="auto"/>
        <w:tabs>
          <w:tab w:leader="none" w:pos="122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Taxable Mortgage Pool Matters</w:t>
      </w:r>
      <w:r>
        <w:rPr>
          <w:rFonts w:ascii="Arial" w:cs="Arial" w:eastAsia="Arial" w:hAnsi="Arial"/>
          <w:sz w:val="18"/>
          <w:szCs w:val="18"/>
          <w:color w:val="auto"/>
        </w:rPr>
        <w:t>. The sum of the Outstanding Principal Balances of all Loan Assets owned by the Borrower and that are principally secured by an interest in real property (within the meaning of Treasury Regulation Section 301.7701(i)-1(d)(3)) shall not at any time exceed 35% of the aggregate Outstanding Principal Balance of all Loan Assets.</w:t>
      </w:r>
    </w:p>
    <w:p>
      <w:pPr>
        <w:spacing w:after="0" w:line="74" w:lineRule="exact"/>
        <w:rPr>
          <w:rFonts w:ascii="Arial" w:cs="Arial" w:eastAsia="Arial" w:hAnsi="Arial"/>
          <w:sz w:val="18"/>
          <w:szCs w:val="18"/>
          <w:color w:val="auto"/>
        </w:rPr>
      </w:pPr>
    </w:p>
    <w:p>
      <w:pPr>
        <w:ind w:left="-20" w:firstLine="989"/>
        <w:spacing w:after="0" w:line="284" w:lineRule="auto"/>
        <w:tabs>
          <w:tab w:leader="none" w:pos="122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Change of Jurisdiction, Location, Names or Location of Loan Asset Files</w:t>
      </w:r>
      <w:r>
        <w:rPr>
          <w:rFonts w:ascii="Arial" w:cs="Arial" w:eastAsia="Arial" w:hAnsi="Arial"/>
          <w:sz w:val="16"/>
          <w:szCs w:val="16"/>
          <w:color w:val="auto"/>
        </w:rPr>
        <w:t xml:space="preserve">. The Borrower shall not change the jurisdiction of its formation, make any change to its name or use any tradenames, fictitious names, assumed names, “doing business as” names or other names (other than those listed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as such schedule may be revised from time to time to reflect name changes and name usage permitted under the terms of this </w:t>
      </w:r>
      <w:r>
        <w:rPr>
          <w:rFonts w:ascii="Arial" w:cs="Arial" w:eastAsia="Arial" w:hAnsi="Arial"/>
          <w:sz w:val="16"/>
          <w:szCs w:val="16"/>
          <w:u w:val="single" w:color="auto"/>
          <w:color w:val="auto"/>
        </w:rPr>
        <w:t>Section 5.02(q)</w:t>
      </w:r>
      <w:r>
        <w:rPr>
          <w:rFonts w:ascii="Arial" w:cs="Arial" w:eastAsia="Arial" w:hAnsi="Arial"/>
          <w:sz w:val="16"/>
          <w:szCs w:val="16"/>
          <w:color w:val="auto"/>
        </w:rPr>
        <w:t xml:space="preserve"> after compliance with all terms and conditions of this </w:t>
      </w:r>
      <w:r>
        <w:rPr>
          <w:rFonts w:ascii="Arial" w:cs="Arial" w:eastAsia="Arial" w:hAnsi="Arial"/>
          <w:sz w:val="16"/>
          <w:szCs w:val="16"/>
          <w:u w:val="single" w:color="auto"/>
          <w:color w:val="auto"/>
        </w:rPr>
        <w:t>Section 5.02(q)</w:t>
      </w:r>
      <w:r>
        <w:rPr>
          <w:rFonts w:ascii="Arial" w:cs="Arial" w:eastAsia="Arial" w:hAnsi="Arial"/>
          <w:sz w:val="16"/>
          <w:szCs w:val="16"/>
          <w:color w:val="auto"/>
        </w:rPr>
        <w:t xml:space="preserve"> related thereto) unless, prior to the effective date of any such change in the jurisdiction of its formation, name change or use, the Borrower has provided 30 days’ prior written notice to the Administrative Agent of such change and the Borrower has delivered to the Administrative Agent such financing statements as the Administrative Agent may request to reflect such name change or use, together with such Opinions of Counsel and other documents and instruments as the Administrative Agent may request in connection therewith. The Borrower shall not change the location of its principal place of business and chief executive office unless prior to the effective date of any such change of location, the Borrower notifies the Administrative Agent of such change of location in writing. The Borrower shall not move, or consent to the Collateral Custodian or the Servicer moving, the Required Loan Documents and Loan Asset Files from the location thereof on the Closing Date, unless the Borrower has provided 30 days’ prior written notice to the Administrative Agent of such change and the Servicer has provided the Administrative Agent with such Opinions of Counsel and other documents and instruments as the Administrative Agent may request in connection therewith, and the Servicer has provided a certificate to the Administrative Agent together with evidence demonstrating that it has taken all actions required under the UCC of each relevant jurisdiction in order to continue the first priority perfected security interest of the Collateral Agent, for the benefit of the Secured Parties, in the Collateral Portfolio.</w:t>
      </w:r>
    </w:p>
    <w:p>
      <w:pPr>
        <w:spacing w:after="0" w:line="66" w:lineRule="exact"/>
        <w:rPr>
          <w:rFonts w:ascii="Arial" w:cs="Arial" w:eastAsia="Arial" w:hAnsi="Arial"/>
          <w:sz w:val="16"/>
          <w:szCs w:val="16"/>
          <w:color w:val="auto"/>
        </w:rPr>
      </w:pPr>
    </w:p>
    <w:p>
      <w:pPr>
        <w:ind w:left="-20" w:right="120" w:firstLine="989"/>
        <w:spacing w:after="0" w:line="277" w:lineRule="auto"/>
        <w:tabs>
          <w:tab w:leader="none" w:pos="119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Allocation of Charges</w:t>
      </w:r>
      <w:r>
        <w:rPr>
          <w:rFonts w:ascii="Arial" w:cs="Arial" w:eastAsia="Arial" w:hAnsi="Arial"/>
          <w:sz w:val="17"/>
          <w:szCs w:val="17"/>
          <w:color w:val="auto"/>
        </w:rPr>
        <w:t xml:space="preserve">. There will not be any agreement or understanding between the Servicer and the Borrower (other than as expressly set forth herein or as consented to by the Administrative Agent), providing for the allocation or sharing of obligations to make payments or otherwise in respect of any Taxes, fees, assessments or other governmental charges;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and acknowledged that the Borrower will be consolidated with or treated as a disregarded entity of the Servicer for tax purposes.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Affirmative Covenants of the Servicer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left="-20" w:right="100" w:firstLine="989"/>
        <w:spacing w:after="0" w:line="275" w:lineRule="auto"/>
        <w:tabs>
          <w:tab w:leader="none" w:pos="121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xml:space="preserve">. The Servicer will comply in all material respects with all Applicable Law, including the Applicable Laws set forth in </w:t>
      </w:r>
      <w:r>
        <w:rPr>
          <w:rFonts w:ascii="Arial" w:cs="Arial" w:eastAsia="Arial" w:hAnsi="Arial"/>
          <w:sz w:val="18"/>
          <w:szCs w:val="18"/>
          <w:u w:val="single" w:color="auto"/>
          <w:color w:val="auto"/>
        </w:rPr>
        <w:t>Section 4.03(y)</w:t>
      </w:r>
      <w:r>
        <w:rPr>
          <w:rFonts w:ascii="Arial" w:cs="Arial" w:eastAsia="Arial" w:hAnsi="Arial"/>
          <w:sz w:val="18"/>
          <w:szCs w:val="18"/>
          <w:color w:val="auto"/>
        </w:rPr>
        <w:t xml:space="preserve"> and those with respect to servicing the Collateral Portfolio or any part thereof.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40"/>
          </w:cols>
          <w:pgMar w:left="480" w:top="273" w:right="479" w:bottom="1440" w:gutter="0" w:footer="0" w:header="0"/>
        </w:sectPr>
      </w:pPr>
    </w:p>
    <w:bookmarkStart w:id="193" w:name="page194"/>
    <w:bookmarkEnd w:id="193"/>
    <w:p>
      <w:pPr>
        <w:ind w:left="-100" w:right="100" w:firstLine="989"/>
        <w:spacing w:after="0" w:line="310" w:lineRule="auto"/>
        <w:tabs>
          <w:tab w:leader="none" w:pos="1140"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Preservation of Company Existence</w:t>
      </w:r>
      <w:r>
        <w:rPr>
          <w:rFonts w:ascii="Arial" w:cs="Arial" w:eastAsia="Arial" w:hAnsi="Arial"/>
          <w:sz w:val="16"/>
          <w:szCs w:val="16"/>
          <w:color w:val="auto"/>
        </w:rPr>
        <w:t>. The Servicer will preserve and maintain its corporate existence, rights, franchises and privileges in the jurisdiction of its incorporation, and qualify and remain qualified in good standing as a corporation in each jurisdiction where the failure to preserve and maintain such existence, rights, franchises, privileges and qualification could reasonably be expected to have a Material Adverse Effect.</w:t>
      </w:r>
    </w:p>
    <w:p>
      <w:pPr>
        <w:spacing w:after="0" w:line="39" w:lineRule="exact"/>
        <w:rPr>
          <w:rFonts w:ascii="Arial" w:cs="Arial" w:eastAsia="Arial" w:hAnsi="Arial"/>
          <w:sz w:val="16"/>
          <w:szCs w:val="16"/>
          <w:color w:val="auto"/>
        </w:rPr>
      </w:pPr>
    </w:p>
    <w:p>
      <w:pPr>
        <w:ind w:left="-100" w:right="80" w:firstLine="989"/>
        <w:spacing w:after="0" w:line="253" w:lineRule="auto"/>
        <w:tabs>
          <w:tab w:leader="none" w:pos="113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Obligations and Compliance with Collateral Portfolio</w:t>
      </w:r>
      <w:r>
        <w:rPr>
          <w:rFonts w:ascii="Arial" w:cs="Arial" w:eastAsia="Arial" w:hAnsi="Arial"/>
          <w:sz w:val="18"/>
          <w:szCs w:val="18"/>
          <w:color w:val="auto"/>
        </w:rPr>
        <w:t>. The Servicer will duly fulfill and comply with all obligations on the part of the Borrower to be fulfilled or complied with under or in connection with the administration of each item of Collateral Portfolio and will do nothing to impair the rights of the Collateral Agent, for the benefit of the Secured Parties, or of the Secured Parties in, to and under the Collateral Portfolio. It is understood and agreed that the Servicer does not hereby assume any obligations of the Borrower in respect of any Advances or assume any responsibility for the performance by the Borrower of any of its obligations hereunder or under any other agreement executed in connection herewith that would be inconsistent with the limited recourse undertaking of the Servicer, in its capacity as seller, under Section 2.1(e) of the Contribution Agreement.</w:t>
      </w:r>
    </w:p>
    <w:p>
      <w:pPr>
        <w:spacing w:after="0" w:line="85" w:lineRule="exact"/>
        <w:rPr>
          <w:rFonts w:ascii="Arial" w:cs="Arial" w:eastAsia="Arial" w:hAnsi="Arial"/>
          <w:sz w:val="18"/>
          <w:szCs w:val="18"/>
          <w:color w:val="auto"/>
        </w:rPr>
      </w:pPr>
    </w:p>
    <w:p>
      <w:pPr>
        <w:ind w:left="-100" w:right="100" w:firstLine="989"/>
        <w:spacing w:after="0" w:line="258" w:lineRule="auto"/>
        <w:tabs>
          <w:tab w:leader="none" w:pos="1140" w:val="left"/>
        </w:tabs>
        <w:numPr>
          <w:ilvl w:val="1"/>
          <w:numId w:val="177"/>
        </w:numPr>
        <w:rPr>
          <w:rFonts w:ascii="Arial" w:cs="Arial" w:eastAsia="Arial" w:hAnsi="Arial"/>
          <w:sz w:val="18"/>
          <w:szCs w:val="18"/>
          <w:color w:val="auto"/>
        </w:rPr>
      </w:pP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(i) The Servicer will maintain and implement administrative and operating procedures (including, without limitation, an ability to recreate records evidencing Collateral Portfolio in the event of the destruction of the originals thereof), and keep and maintain all documents, books, records and other information reasonably necessary or advisable for the collection of all Collateral Portfolio and the identification of the Collateral Portfolio.</w:t>
      </w:r>
    </w:p>
    <w:p>
      <w:pPr>
        <w:spacing w:after="0" w:line="77" w:lineRule="exact"/>
        <w:rPr>
          <w:rFonts w:ascii="Arial" w:cs="Arial" w:eastAsia="Arial" w:hAnsi="Arial"/>
          <w:sz w:val="18"/>
          <w:szCs w:val="18"/>
          <w:color w:val="auto"/>
        </w:rPr>
      </w:pPr>
    </w:p>
    <w:p>
      <w:pPr>
        <w:ind w:left="340" w:firstLine="421"/>
        <w:spacing w:after="0" w:line="258" w:lineRule="auto"/>
        <w:tabs>
          <w:tab w:leader="none" w:pos="102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Subject to the proviso of </w:t>
      </w:r>
      <w:r>
        <w:rPr>
          <w:rFonts w:ascii="Arial" w:cs="Arial" w:eastAsia="Arial" w:hAnsi="Arial"/>
          <w:sz w:val="18"/>
          <w:szCs w:val="18"/>
          <w:u w:val="single" w:color="auto"/>
          <w:color w:val="auto"/>
        </w:rPr>
        <w:t>Section 5.03(u)</w:t>
      </w:r>
      <w:r>
        <w:rPr>
          <w:rFonts w:ascii="Arial" w:cs="Arial" w:eastAsia="Arial" w:hAnsi="Arial"/>
          <w:sz w:val="18"/>
          <w:szCs w:val="18"/>
          <w:color w:val="auto"/>
        </w:rPr>
        <w:t>, the Servicer shall permit the Administrative Agent or its agents or representatives to visit the offices of the Servicer during normal office hours and upon reasonable advance notice and examine and make copies of all documents, books, records and other information concerning the Collateral Portfolio and the Servicer’s servicing thereof and discuss matters related thereto with any of the officers or employees of the Servicer having knowledge of such matters.</w:t>
      </w:r>
    </w:p>
    <w:p>
      <w:pPr>
        <w:spacing w:after="0" w:line="77" w:lineRule="exact"/>
        <w:rPr>
          <w:rFonts w:ascii="Arial" w:cs="Arial" w:eastAsia="Arial" w:hAnsi="Arial"/>
          <w:sz w:val="18"/>
          <w:szCs w:val="18"/>
          <w:color w:val="auto"/>
        </w:rPr>
      </w:pPr>
    </w:p>
    <w:p>
      <w:pPr>
        <w:ind w:left="340" w:right="40" w:firstLine="421"/>
        <w:spacing w:after="0" w:line="284" w:lineRule="auto"/>
        <w:tabs>
          <w:tab w:leader="none" w:pos="107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Servicer will on or prior to the date hereof, mark its master data processing records and other books and records relating to the Collateral Portfolio with a legend, acceptable to the Administrative Agent describing (i) the sale of the Collateral Portfolio from the Transferor to the Borrower and (ii) the Pledge from the Borrower to the Collateral Agent, for the benefit of the Secured Parties.</w:t>
      </w:r>
    </w:p>
    <w:p>
      <w:pPr>
        <w:spacing w:after="0" w:line="58" w:lineRule="exact"/>
        <w:rPr>
          <w:rFonts w:ascii="Arial" w:cs="Arial" w:eastAsia="Arial" w:hAnsi="Arial"/>
          <w:sz w:val="17"/>
          <w:szCs w:val="17"/>
          <w:color w:val="auto"/>
        </w:rPr>
      </w:pPr>
    </w:p>
    <w:p>
      <w:pPr>
        <w:ind w:left="340" w:right="140" w:firstLine="421"/>
        <w:spacing w:after="0" w:line="295" w:lineRule="auto"/>
        <w:tabs>
          <w:tab w:leader="none" w:pos="106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Servicer agrees (subject to any applicable confidentiality provisions) to use commercially reasonable efforts to promptly provide the Administrative Agent and each Lender any and all additional information and financial reporting reasonably available to it and reasonably requested by Administrative Agent or any Lender with respect to each Obligor of each Loan Asset that is required for compliance with the requests, rules, guidelines or directives promulgated by the Bank of International Settlements, the Basel Committee on Banking Supervision (or any successor or similar authority) or the United States or foreign regulatory authorities, in each case pursuant to Basel II or Basel III.</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780"/>
          </w:cols>
          <w:pgMar w:left="560" w:top="273" w:right="559" w:bottom="1440" w:gutter="0" w:footer="0" w:header="0"/>
        </w:sectPr>
      </w:pPr>
    </w:p>
    <w:bookmarkStart w:id="194" w:name="page195"/>
    <w:bookmarkEnd w:id="194"/>
    <w:p>
      <w:pPr>
        <w:jc w:val="both"/>
        <w:ind w:right="40" w:firstLine="989"/>
        <w:spacing w:after="0" w:line="258" w:lineRule="auto"/>
        <w:tabs>
          <w:tab w:leader="none" w:pos="123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Preservation of Security Interest</w:t>
      </w:r>
      <w:r>
        <w:rPr>
          <w:rFonts w:ascii="Arial" w:cs="Arial" w:eastAsia="Arial" w:hAnsi="Arial"/>
          <w:sz w:val="18"/>
          <w:szCs w:val="18"/>
          <w:color w:val="auto"/>
        </w:rPr>
        <w:t>. The Servicer (at its own expense, on behalf of the Borrower) will file such financing and continuation statements and any other documents that may be required by any law or regulation of any Governmental Authority to preserve and protect fully the first priority perfected security interest of the Collateral Agent, for the benefit of the Secured Parties, in, to and under the Loan Assets and that portion of the Collateral Portfolio in which a security interest may be perfected by filing.</w:t>
      </w:r>
    </w:p>
    <w:p>
      <w:pPr>
        <w:spacing w:after="0" w:line="77" w:lineRule="exact"/>
        <w:rPr>
          <w:rFonts w:ascii="Arial" w:cs="Arial" w:eastAsia="Arial" w:hAnsi="Arial"/>
          <w:sz w:val="18"/>
          <w:szCs w:val="18"/>
          <w:color w:val="auto"/>
        </w:rPr>
      </w:pPr>
    </w:p>
    <w:p>
      <w:pPr>
        <w:ind w:right="40" w:firstLine="989"/>
        <w:spacing w:after="0" w:line="253" w:lineRule="auto"/>
        <w:tabs>
          <w:tab w:leader="none" w:pos="121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Credit and Collection Policy</w:t>
      </w:r>
      <w:r>
        <w:rPr>
          <w:rFonts w:ascii="Arial" w:cs="Arial" w:eastAsia="Arial" w:hAnsi="Arial"/>
          <w:sz w:val="18"/>
          <w:szCs w:val="18"/>
          <w:color w:val="auto"/>
        </w:rPr>
        <w:t xml:space="preserve">. The Servicer will (i) comply in all material respects with the Credit and Collection Policy and the Servicing Standard in regard to the Collateral Portfolio, and (ii) furnish to the Administrative Agent, prior to its effective date, prompt written notice of any changes in the Credit and Collection Policy. The Servicer will not agree to or otherwise permit to occur any change in the Credit and Collection Policy without the prior written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prior written notice thereof is provided to the Administrative Agent, no consent shall be required from the Administrative Agent in connection with (i) any change certified by the Servicer to the Administrative Agent as being not adverse to the interests of the Lender Group (except in an immaterial manner), or (ii) any change mandated by Applicable Law or a Governmental Authority and, if requested by the Administrative Agent at the direction of the Majority Lenders, as evidenced by an Opinion of Counsel to that effect delivered to the Administrative Agent.</w:t>
      </w:r>
    </w:p>
    <w:p>
      <w:pPr>
        <w:spacing w:after="0" w:line="81" w:lineRule="exact"/>
        <w:rPr>
          <w:rFonts w:ascii="Arial" w:cs="Arial" w:eastAsia="Arial" w:hAnsi="Arial"/>
          <w:sz w:val="18"/>
          <w:szCs w:val="18"/>
          <w:color w:val="auto"/>
        </w:rPr>
      </w:pPr>
    </w:p>
    <w:p>
      <w:pPr>
        <w:ind w:firstLine="989"/>
        <w:spacing w:after="0" w:line="275" w:lineRule="auto"/>
        <w:tabs>
          <w:tab w:leader="none" w:pos="12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Compliance With Loan Agreements</w:t>
      </w:r>
      <w:r>
        <w:rPr>
          <w:rFonts w:ascii="Arial" w:cs="Arial" w:eastAsia="Arial" w:hAnsi="Arial"/>
          <w:sz w:val="18"/>
          <w:szCs w:val="18"/>
          <w:color w:val="auto"/>
        </w:rPr>
        <w:t>. The Servicer will act in conformity with all material terms and conditions of the Loan Agreements and Required Loan Documents.</w:t>
      </w:r>
    </w:p>
    <w:p>
      <w:pPr>
        <w:spacing w:after="0" w:line="63" w:lineRule="exact"/>
        <w:rPr>
          <w:rFonts w:ascii="Arial" w:cs="Arial" w:eastAsia="Arial" w:hAnsi="Arial"/>
          <w:sz w:val="18"/>
          <w:szCs w:val="18"/>
          <w:color w:val="auto"/>
        </w:rPr>
      </w:pPr>
    </w:p>
    <w:p>
      <w:pPr>
        <w:ind w:right="80" w:firstLine="989"/>
        <w:spacing w:after="0" w:line="274" w:lineRule="auto"/>
        <w:tabs>
          <w:tab w:leader="none" w:pos="124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Notice of Events of Default</w:t>
      </w:r>
      <w:r>
        <w:rPr>
          <w:rFonts w:ascii="Arial" w:cs="Arial" w:eastAsia="Arial" w:hAnsi="Arial"/>
          <w:sz w:val="17"/>
          <w:szCs w:val="17"/>
          <w:color w:val="auto"/>
        </w:rPr>
        <w:t>. The Servicer shall notify the Administrative Agent (with a copy to the Collateral Agent and each Lender Agent) with immediate written notice of the occurrence of each Event of Default of which the Servicer has knowledge or has received notice. In addition, no later than two Business Days following the Servicer’s knowledge or notice of the occurrence of any Event of Default, the Servicer will provide to the Administrative Agent (with a copy to the Collateral Agent) a written statement of the chief financial officer or chief accounting officer of the Servicer setting forth the details of such event and the action that the Servicer proposes to take with respect thereto.</w:t>
      </w:r>
    </w:p>
    <w:p>
      <w:pPr>
        <w:spacing w:after="0" w:line="66" w:lineRule="exact"/>
        <w:rPr>
          <w:rFonts w:ascii="Arial" w:cs="Arial" w:eastAsia="Arial" w:hAnsi="Arial"/>
          <w:sz w:val="17"/>
          <w:szCs w:val="17"/>
          <w:color w:val="auto"/>
        </w:rPr>
      </w:pPr>
    </w:p>
    <w:p>
      <w:pPr>
        <w:ind w:right="300" w:firstLine="989"/>
        <w:spacing w:after="0" w:line="275" w:lineRule="auto"/>
        <w:tabs>
          <w:tab w:leader="none" w:pos="12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Servicer will file its tax returns and pay any and all Taxes imposed on it or its property as required under the Transaction Documents (except as contemplated by </w:t>
      </w:r>
      <w:r>
        <w:rPr>
          <w:rFonts w:ascii="Arial" w:cs="Arial" w:eastAsia="Arial" w:hAnsi="Arial"/>
          <w:sz w:val="18"/>
          <w:szCs w:val="18"/>
          <w:u w:val="single" w:color="auto"/>
          <w:color w:val="auto"/>
        </w:rPr>
        <w:t>Section 4.03(m)</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60" w:firstLine="989"/>
        <w:spacing w:after="0" w:line="258" w:lineRule="auto"/>
        <w:tabs>
          <w:tab w:leader="none" w:pos="1201"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The Servicer will promptly furnish to the Collateral Agent and the Administrative Agent such other information, documents, records or reports respecting the Collateral Portfolio or the condition or operations, financial or otherwise, of the Borrower or the Servicer as the Collateral Agent or the Administrative Agent may from time to time reasonably request in order to protect the interests of the Administrative Agent, the Collateral Agent or Secured Parties under or as contemplated by this Agreement.</w:t>
      </w:r>
    </w:p>
    <w:p>
      <w:pPr>
        <w:spacing w:after="0" w:line="77" w:lineRule="exact"/>
        <w:rPr>
          <w:rFonts w:ascii="Arial" w:cs="Arial" w:eastAsia="Arial" w:hAnsi="Arial"/>
          <w:sz w:val="18"/>
          <w:szCs w:val="18"/>
          <w:color w:val="auto"/>
        </w:rPr>
      </w:pPr>
    </w:p>
    <w:p>
      <w:pPr>
        <w:ind w:right="320" w:firstLine="989"/>
        <w:spacing w:after="0" w:line="262" w:lineRule="auto"/>
        <w:tabs>
          <w:tab w:leader="none" w:pos="124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Proceedings Related to the Borrower, the Transferor and the Servicer and the Transaction Documents</w:t>
      </w:r>
      <w:r>
        <w:rPr>
          <w:rFonts w:ascii="Arial" w:cs="Arial" w:eastAsia="Arial" w:hAnsi="Arial"/>
          <w:sz w:val="18"/>
          <w:szCs w:val="18"/>
          <w:color w:val="auto"/>
        </w:rPr>
        <w:t>. The Servicer shall notify the Administrative Agent as soon as possible and in any event within three Business Days after any executive officer of the Servicer receives notice or obtains knowledge thereof of any settlement of, judgment (including a judgment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60"/>
          </w:cols>
          <w:pgMar w:left="460" w:top="273" w:right="479" w:bottom="1440" w:gutter="0" w:footer="0" w:header="0"/>
        </w:sectPr>
      </w:pPr>
    </w:p>
    <w:bookmarkStart w:id="195" w:name="page196"/>
    <w:bookmarkEnd w:id="19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with respect to the liability phase of a bifurcated trial) in or commencement of any labor controversy, litigation, action, suit or proceeding before any court or governmental department, commission, board, bureau, agency or instrumentality, domestic or foreign, that could reasonably be expected to have a Material Adverse Effect on the Borrower, the Transferor or the Servicer (or any of their Affiliates) or the Transaction Documents. For purposes of this </w:t>
      </w:r>
      <w:r>
        <w:rPr>
          <w:rFonts w:ascii="Arial" w:cs="Arial" w:eastAsia="Arial" w:hAnsi="Arial"/>
          <w:sz w:val="17"/>
          <w:szCs w:val="17"/>
          <w:u w:val="single" w:color="auto"/>
          <w:color w:val="auto"/>
        </w:rPr>
        <w:t>Section 5.03(k)</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any settlement, judgment, labor controversy, litigation, action, suit or proceeding affecting the Transaction Documents or the Borrower in excess of $500,000 shall be deemed to be expected to have such a Material Adverse Effect and (ii) any settlement, judgment, labor controversy, litigation, action, suit or proceeding affecting the Servicer or the Transferor or any of their Affiliates (other than the Borrower) in excess of $25,000,000 shall be deemed to be expected to have such a Material Adverse Effect.</w:t>
      </w:r>
    </w:p>
    <w:p>
      <w:pPr>
        <w:spacing w:after="0" w:line="73" w:lineRule="exact"/>
        <w:rPr>
          <w:sz w:val="20"/>
          <w:szCs w:val="20"/>
          <w:color w:val="auto"/>
        </w:rPr>
      </w:pPr>
    </w:p>
    <w:p>
      <w:pPr>
        <w:ind w:right="200" w:firstLine="989"/>
        <w:spacing w:after="0" w:line="305" w:lineRule="auto"/>
        <w:tabs>
          <w:tab w:leader="none" w:pos="1201"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Deposit of Collections</w:t>
      </w:r>
      <w:r>
        <w:rPr>
          <w:rFonts w:ascii="Arial" w:cs="Arial" w:eastAsia="Arial" w:hAnsi="Arial"/>
          <w:sz w:val="17"/>
          <w:szCs w:val="17"/>
          <w:color w:val="auto"/>
        </w:rPr>
        <w:t>. The Servicer shall promptly (but in no event later than two Business Days after receipt) deposit or cause to be deposited into the Collection Account any and all Available Collections received by the Borrower, the Servicer or any of their Affiliates.</w:t>
      </w:r>
    </w:p>
    <w:p>
      <w:pPr>
        <w:spacing w:after="0" w:line="40" w:lineRule="exact"/>
        <w:rPr>
          <w:rFonts w:ascii="Arial" w:cs="Arial" w:eastAsia="Arial" w:hAnsi="Arial"/>
          <w:sz w:val="17"/>
          <w:szCs w:val="17"/>
          <w:color w:val="auto"/>
        </w:rPr>
      </w:pPr>
    </w:p>
    <w:p>
      <w:pPr>
        <w:ind w:right="140" w:firstLine="989"/>
        <w:spacing w:after="0" w:line="274" w:lineRule="auto"/>
        <w:tabs>
          <w:tab w:leader="none" w:pos="1290"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Loan Asset Register</w:t>
      </w:r>
      <w:r>
        <w:rPr>
          <w:rFonts w:ascii="Arial" w:cs="Arial" w:eastAsia="Arial" w:hAnsi="Arial"/>
          <w:sz w:val="17"/>
          <w:szCs w:val="17"/>
          <w:color w:val="auto"/>
        </w:rPr>
        <w:t>. (i) The Servicer shall maintain, or cause to be maintained, with respect to each Noteless Loan Asset a register (which may be in physical or electronic form and readily identifiable as the loan asset register) (each, a “Loan Asset Register”) in which it will record, or cause to be recorded, (v) the amount of such Noteless Loan Asset, (w) the amount of any principal or interest due and payable or to become due and payable from the Obligor thereunder, (x) the amount of any sum in respect of such Noteless Loan Asset received from the Obligor, (y) the date of origination of such Noteless Loan Asset and (z) the maturity date of such Noteless Loan Asset.</w:t>
      </w:r>
    </w:p>
    <w:p>
      <w:pPr>
        <w:spacing w:after="0" w:line="66" w:lineRule="exact"/>
        <w:rPr>
          <w:rFonts w:ascii="Arial" w:cs="Arial" w:eastAsia="Arial" w:hAnsi="Arial"/>
          <w:sz w:val="17"/>
          <w:szCs w:val="17"/>
          <w:color w:val="auto"/>
        </w:rPr>
      </w:pPr>
    </w:p>
    <w:p>
      <w:pPr>
        <w:ind w:left="440" w:right="60" w:firstLine="421"/>
        <w:spacing w:after="0" w:line="258" w:lineRule="auto"/>
        <w:tabs>
          <w:tab w:leader="none" w:pos="112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At any time a Noteless Loan Asset is included as part of the Collateral Portfolio pursuant to this Agreement, the Servicer shall deliver to the Administrative Agent, the Collateral Agent and the Collateral Custodian a copy of the related Loan Asset Register, together with a certificate of a Responsible Officer of the Servicer (in the form of </w:t>
      </w:r>
      <w:r>
        <w:rPr>
          <w:rFonts w:ascii="Arial" w:cs="Arial" w:eastAsia="Arial" w:hAnsi="Arial"/>
          <w:sz w:val="18"/>
          <w:szCs w:val="18"/>
          <w:u w:val="single" w:color="auto"/>
          <w:color w:val="auto"/>
        </w:rPr>
        <w:t>Exhibit Q</w:t>
      </w:r>
      <w:r>
        <w:rPr>
          <w:rFonts w:ascii="Arial" w:cs="Arial" w:eastAsia="Arial" w:hAnsi="Arial"/>
          <w:sz w:val="18"/>
          <w:szCs w:val="18"/>
          <w:color w:val="auto"/>
        </w:rPr>
        <w:t>) certifying to the accuracy of such Loan Asset Register as of the applicable Cut-Off Date.</w:t>
      </w:r>
    </w:p>
    <w:p>
      <w:pPr>
        <w:spacing w:after="0" w:line="77" w:lineRule="exact"/>
        <w:rPr>
          <w:rFonts w:ascii="Arial" w:cs="Arial" w:eastAsia="Arial" w:hAnsi="Arial"/>
          <w:sz w:val="18"/>
          <w:szCs w:val="18"/>
          <w:color w:val="auto"/>
        </w:rPr>
      </w:pPr>
    </w:p>
    <w:p>
      <w:pPr>
        <w:ind w:right="120" w:firstLine="989"/>
        <w:spacing w:after="0" w:line="275" w:lineRule="auto"/>
        <w:tabs>
          <w:tab w:leader="none" w:pos="1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Special Purpose Entity Requirements</w:t>
      </w:r>
      <w:r>
        <w:rPr>
          <w:rFonts w:ascii="Arial" w:cs="Arial" w:eastAsia="Arial" w:hAnsi="Arial"/>
          <w:sz w:val="18"/>
          <w:szCs w:val="18"/>
          <w:color w:val="auto"/>
        </w:rPr>
        <w:t xml:space="preserve">. The Servicer shall take such actions as are necessary to cause the Borrower to be in compliance with the special purpose entity requirements set forth in </w:t>
      </w:r>
      <w:r>
        <w:rPr>
          <w:rFonts w:ascii="Arial" w:cs="Arial" w:eastAsia="Arial" w:hAnsi="Arial"/>
          <w:sz w:val="18"/>
          <w:szCs w:val="18"/>
          <w:u w:val="single" w:color="auto"/>
          <w:color w:val="auto"/>
        </w:rPr>
        <w:t>Sections 5.01(a)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right="280" w:firstLine="989"/>
        <w:spacing w:after="0" w:line="275" w:lineRule="auto"/>
        <w:tabs>
          <w:tab w:leader="none" w:pos="1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Notice of Accounting Changes</w:t>
      </w:r>
      <w:r>
        <w:rPr>
          <w:rFonts w:ascii="Arial" w:cs="Arial" w:eastAsia="Arial" w:hAnsi="Arial"/>
          <w:sz w:val="18"/>
          <w:szCs w:val="18"/>
          <w:color w:val="auto"/>
        </w:rPr>
        <w:t>. As soon as possible and in any event within three Business Days after the effective date thereof, the Servicer will provide to the Administrative Agent notice of any change in the accounting policies of the Servicer.</w:t>
      </w:r>
    </w:p>
    <w:p>
      <w:pPr>
        <w:spacing w:after="0" w:line="63" w:lineRule="exact"/>
        <w:rPr>
          <w:rFonts w:ascii="Arial" w:cs="Arial" w:eastAsia="Arial" w:hAnsi="Arial"/>
          <w:sz w:val="18"/>
          <w:szCs w:val="18"/>
          <w:color w:val="auto"/>
        </w:rPr>
      </w:pPr>
    </w:p>
    <w:p>
      <w:pPr>
        <w:ind w:right="20" w:firstLine="989"/>
        <w:spacing w:after="0" w:line="255" w:lineRule="auto"/>
        <w:tabs>
          <w:tab w:leader="none" w:pos="124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Proceedings Related to the Collateral Portfolio</w:t>
      </w:r>
      <w:r>
        <w:rPr>
          <w:rFonts w:ascii="Arial" w:cs="Arial" w:eastAsia="Arial" w:hAnsi="Arial"/>
          <w:sz w:val="18"/>
          <w:szCs w:val="18"/>
          <w:color w:val="auto"/>
        </w:rPr>
        <w:t>. The Servicer shall notify the Administrative Agent as soon as possible and in any event within three Business Days after any Responsible Officer of the Servicer receives notice or has actual knowledge of any settlement of, judgment (including a judgment with respect to the liability phase of a bifurcated trial) in or commencement of any labor controversy, litigation, action, suit or proceeding before any court or governmental department, commission, board, bureau, agency or instrumentality, domestic or foreign, that could reasonably be expected to have a Material Adverse Effect on the interests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60"/>
          </w:cols>
          <w:pgMar w:left="460" w:top="273" w:right="479" w:bottom="1440" w:gutter="0" w:footer="0" w:header="0"/>
        </w:sectPr>
      </w:pPr>
    </w:p>
    <w:bookmarkStart w:id="196" w:name="page197"/>
    <w:bookmarkEnd w:id="196"/>
    <w:p>
      <w:pPr>
        <w:ind w:right="440"/>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Collateral Agent or the Secured Parties in, to and under the Collateral Portfolio. For purposes of this </w:t>
      </w:r>
      <w:r>
        <w:rPr>
          <w:rFonts w:ascii="Arial" w:cs="Arial" w:eastAsia="Arial" w:hAnsi="Arial"/>
          <w:sz w:val="16"/>
          <w:szCs w:val="16"/>
          <w:u w:val="single" w:color="auto"/>
          <w:color w:val="auto"/>
        </w:rPr>
        <w:t>Section 5.03(p)</w:t>
      </w:r>
      <w:r>
        <w:rPr>
          <w:rFonts w:ascii="Arial" w:cs="Arial" w:eastAsia="Arial" w:hAnsi="Arial"/>
          <w:sz w:val="16"/>
          <w:szCs w:val="16"/>
          <w:color w:val="auto"/>
        </w:rPr>
        <w:t>, any adverse settlement, judgment, labor controversy, litigation, action, suit or proceeding affecting the Collateral Portfolio or the Collateral Agent’s or the Secured Parties’ interest in the Collateral Portfolio in excess of $1,000,000 or more shall be deemed to be expected to have such a Material Adverse Effect.</w:t>
      </w:r>
    </w:p>
    <w:p>
      <w:pPr>
        <w:spacing w:after="0" w:line="40" w:lineRule="exact"/>
        <w:rPr>
          <w:sz w:val="20"/>
          <w:szCs w:val="20"/>
          <w:color w:val="auto"/>
        </w:rPr>
      </w:pPr>
    </w:p>
    <w:p>
      <w:pPr>
        <w:ind w:right="120" w:firstLine="989"/>
        <w:spacing w:after="0" w:line="258" w:lineRule="auto"/>
        <w:tabs>
          <w:tab w:leader="none" w:pos="124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Compliance with Legal Opinions</w:t>
      </w:r>
      <w:r>
        <w:rPr>
          <w:rFonts w:ascii="Arial" w:cs="Arial" w:eastAsia="Arial" w:hAnsi="Arial"/>
          <w:sz w:val="18"/>
          <w:szCs w:val="18"/>
          <w:color w:val="auto"/>
        </w:rPr>
        <w:t>. The Servicer shall take all other actions necessary to maintain the accuracy of the factual assumptions set forth in the legal opinions of Latham &amp; Watkins LLP and Richards, Layton &amp; Finger, P.A., each as special counsel to the Servicer, issued in connection with the Transaction Documents and relating to the issues of substantive consolidation and “true contribution” of the Loan Assets, as applicable.</w:t>
      </w:r>
    </w:p>
    <w:p>
      <w:pPr>
        <w:spacing w:after="0" w:line="77" w:lineRule="exact"/>
        <w:rPr>
          <w:rFonts w:ascii="Arial" w:cs="Arial" w:eastAsia="Arial" w:hAnsi="Arial"/>
          <w:sz w:val="18"/>
          <w:szCs w:val="18"/>
          <w:color w:val="auto"/>
        </w:rPr>
      </w:pPr>
    </w:p>
    <w:p>
      <w:pPr>
        <w:ind w:right="120" w:firstLine="989"/>
        <w:spacing w:after="0" w:line="274" w:lineRule="auto"/>
        <w:tabs>
          <w:tab w:leader="none" w:pos="121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Instructions to Agents and Obligors</w:t>
      </w:r>
      <w:r>
        <w:rPr>
          <w:rFonts w:ascii="Arial" w:cs="Arial" w:eastAsia="Arial" w:hAnsi="Arial"/>
          <w:sz w:val="17"/>
          <w:szCs w:val="17"/>
          <w:color w:val="auto"/>
        </w:rPr>
        <w:t>. The Servicer shall direct, or shall cause the Transferor to direct, any agent or administrative agent for any Loan Asset to remit all payments and collections with respect to such Loan Asset, and, if applicable, to direct the Obligor with respect to such Loan Asset to remit all such payments and collections with respect to such Loan Asset directly to the Collection Account. The Borrower and the Servicer shall take commercially reasonable steps to ensure, and shall cause the Transferor to take commercially reasonable steps to ensure, that only funds constituting payments and collections relating to Loan Assets shall be deposited into the Collection Account.</w:t>
      </w:r>
    </w:p>
    <w:p>
      <w:pPr>
        <w:spacing w:after="0" w:line="66" w:lineRule="exact"/>
        <w:rPr>
          <w:rFonts w:ascii="Arial" w:cs="Arial" w:eastAsia="Arial" w:hAnsi="Arial"/>
          <w:sz w:val="17"/>
          <w:szCs w:val="17"/>
          <w:color w:val="auto"/>
        </w:rPr>
      </w:pPr>
    </w:p>
    <w:p>
      <w:pPr>
        <w:ind w:right="400" w:firstLine="989"/>
        <w:spacing w:after="0" w:line="275" w:lineRule="auto"/>
        <w:tabs>
          <w:tab w:leader="none" w:pos="1220"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Capacity as Servicer</w:t>
      </w:r>
      <w:r>
        <w:rPr>
          <w:rFonts w:ascii="Arial" w:cs="Arial" w:eastAsia="Arial" w:hAnsi="Arial"/>
          <w:sz w:val="18"/>
          <w:szCs w:val="18"/>
          <w:color w:val="auto"/>
        </w:rPr>
        <w:t>. The Servicer will ensure that, at all times when it is dealing with or in connection with the Loan Assets in its capacity as Servicer, it holds itself out as Servicer, and not in any other capacity.</w:t>
      </w:r>
    </w:p>
    <w:p>
      <w:pPr>
        <w:spacing w:after="0" w:line="63" w:lineRule="exact"/>
        <w:rPr>
          <w:rFonts w:ascii="Arial" w:cs="Arial" w:eastAsia="Arial" w:hAnsi="Arial"/>
          <w:sz w:val="18"/>
          <w:szCs w:val="18"/>
          <w:color w:val="auto"/>
        </w:rPr>
      </w:pPr>
    </w:p>
    <w:p>
      <w:pPr>
        <w:ind w:right="80" w:firstLine="989"/>
        <w:spacing w:after="0" w:line="277" w:lineRule="auto"/>
        <w:tabs>
          <w:tab w:leader="none" w:pos="1201"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Notice of Breaches of Representations and Warranties under the Contribution Agreement</w:t>
      </w:r>
      <w:r>
        <w:rPr>
          <w:rFonts w:ascii="Arial" w:cs="Arial" w:eastAsia="Arial" w:hAnsi="Arial"/>
          <w:sz w:val="17"/>
          <w:szCs w:val="17"/>
          <w:color w:val="auto"/>
        </w:rPr>
        <w:t>. The Servicer confirms and agrees that the Servicer will, upon receipt of notice or discovery thereof, promptly send to the Administrative Agent and the Collateral Agent a notice of (i) any breach of any representation, warranty, agreement or covenant under the Contribution Agreement or (ii) any event or occurrence that, upon notice, or upon the passage of time or both, would constitute such a breach, in each case, promptly upon learning thereof.</w:t>
      </w:r>
    </w:p>
    <w:p>
      <w:pPr>
        <w:spacing w:after="0" w:line="65" w:lineRule="exact"/>
        <w:rPr>
          <w:rFonts w:ascii="Arial" w:cs="Arial" w:eastAsia="Arial" w:hAnsi="Arial"/>
          <w:sz w:val="17"/>
          <w:szCs w:val="17"/>
          <w:color w:val="auto"/>
        </w:rPr>
      </w:pPr>
    </w:p>
    <w:p>
      <w:pPr>
        <w:ind w:firstLine="989"/>
        <w:spacing w:after="0" w:line="287" w:lineRule="auto"/>
        <w:tabs>
          <w:tab w:leader="none" w:pos="1240"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Audits</w:t>
      </w:r>
      <w:r>
        <w:rPr>
          <w:rFonts w:ascii="Arial" w:cs="Arial" w:eastAsia="Arial" w:hAnsi="Arial"/>
          <w:sz w:val="16"/>
          <w:szCs w:val="16"/>
          <w:color w:val="auto"/>
        </w:rPr>
        <w:t xml:space="preserve">. Prior to the Closing Date and periodically thereafter, the Servicer, at its sole cost and expense, shall allow the Administrative Agent and the Lender Agents, or their respective agents or representatives (during normal office hours and upon reasonable advance notice) to (i) review the Servicer’s books and records relating to, and collection and administration of, the Collateral Portfolio in order to assess compliance by the Servicer with the Servicing Standard, as well as with the Transaction Documents and to conduct an audit of the Collateral Portfolio and Required Loan Documents in conjunction with such a review, (ii) to examine and make copies of and abstracts from all books, records and documents (including, without limitation, computer tapes and disks) in the possession or under the control of the Borrower or Servicer, as the case may be, and relating to the Collateral Portfolio, and (iii) to visit the offices and properties of the Borrower or Servicer, as the case may be, during normal office hours and upon reasonable advance notice for the purpose of examining such materials described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above, and to discuss matters relating to the Collateral Portfolio and Required Loan Documents or the Borrowers or Servicers performance under the Transaction Documents with any of the officers or employees of the Borrower or Servicer, as the case may be, having knowledge of such matters; </w:t>
      </w:r>
      <w:r>
        <w:rPr>
          <w:rFonts w:ascii="Arial" w:cs="Arial" w:eastAsia="Arial" w:hAnsi="Arial"/>
          <w:sz w:val="16"/>
          <w:szCs w:val="16"/>
          <w:u w:val="single" w:color="auto"/>
          <w:color w:val="auto"/>
        </w:rPr>
        <w:t>provided</w:t>
      </w:r>
      <w:r>
        <w:rPr>
          <w:rFonts w:ascii="Arial" w:cs="Arial" w:eastAsia="Arial" w:hAnsi="Arial"/>
          <w:sz w:val="16"/>
          <w:szCs w:val="16"/>
          <w:color w:val="auto"/>
        </w:rPr>
        <w:t>,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60"/>
          </w:cols>
          <w:pgMar w:left="460" w:top="273" w:right="479" w:bottom="1440" w:gutter="0" w:footer="0" w:header="0"/>
        </w:sectPr>
      </w:pPr>
    </w:p>
    <w:bookmarkStart w:id="197" w:name="page198"/>
    <w:bookmarkEnd w:id="197"/>
    <w:p>
      <w:pP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so long as no Servicer Termination Event or Event of Default has occurred and is continuing, (i) the Administrative Agent and the Lender Agents shall use all reasonable efforts to coordinate their inspections as a single group, and (ii) the Servicer shall be responsible for the costs and expenses of no more than one on-site visit in any 12-month period. In addition, the Borrower will at its expense appoint (or the Administrative Agent shall appoint, at the Borrower’s expense) an independent nationally recognized accounting firm or an independent audit and consulting firm specializing in securitization as set forth in </w:t>
      </w:r>
      <w:r>
        <w:rPr>
          <w:rFonts w:ascii="Arial" w:cs="Arial" w:eastAsia="Arial" w:hAnsi="Arial"/>
          <w:sz w:val="17"/>
          <w:szCs w:val="17"/>
          <w:u w:val="single" w:color="auto"/>
          <w:color w:val="auto"/>
        </w:rPr>
        <w:t>Section 5.01(hh)</w:t>
      </w:r>
      <w:r>
        <w:rPr>
          <w:rFonts w:ascii="Arial" w:cs="Arial" w:eastAsia="Arial" w:hAnsi="Arial"/>
          <w:sz w:val="17"/>
          <w:szCs w:val="17"/>
          <w:color w:val="auto"/>
        </w:rPr>
        <w:t xml:space="preserve"> and otherwise comply with the inspection requirements set forth in </w:t>
      </w:r>
      <w:r>
        <w:rPr>
          <w:rFonts w:ascii="Arial" w:cs="Arial" w:eastAsia="Arial" w:hAnsi="Arial"/>
          <w:sz w:val="17"/>
          <w:szCs w:val="17"/>
          <w:u w:val="single" w:color="auto"/>
          <w:color w:val="auto"/>
        </w:rPr>
        <w:t>Section 5.01(ii)</w:t>
      </w:r>
      <w:r>
        <w:rPr>
          <w:rFonts w:ascii="Arial" w:cs="Arial" w:eastAsia="Arial" w:hAnsi="Arial"/>
          <w:sz w:val="17"/>
          <w:szCs w:val="17"/>
          <w:color w:val="auto"/>
        </w:rPr>
        <w:t>.</w:t>
      </w:r>
    </w:p>
    <w:p>
      <w:pPr>
        <w:spacing w:after="0" w:line="67" w:lineRule="exact"/>
        <w:rPr>
          <w:sz w:val="20"/>
          <w:szCs w:val="20"/>
          <w:color w:val="auto"/>
        </w:rPr>
      </w:pPr>
    </w:p>
    <w:p>
      <w:pPr>
        <w:ind w:right="40" w:firstLine="989"/>
        <w:spacing w:after="0" w:line="253" w:lineRule="auto"/>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Notice of Breaches of Representations and Warranties under this Agreement</w:t>
      </w:r>
      <w:r>
        <w:rPr>
          <w:rFonts w:ascii="Arial" w:cs="Arial" w:eastAsia="Arial" w:hAnsi="Arial"/>
          <w:sz w:val="18"/>
          <w:szCs w:val="18"/>
          <w:color w:val="auto"/>
        </w:rPr>
        <w:t xml:space="preserve">. The Servicer shall, upon receipt of notice or discovery thereof, promptly notify the Administrative Agent if any representation or warranty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was incorrect at the time it was given or deemed to have been given and at the same time deliver to the Collateral Agent and the Administrative Agent a written notice setting forth in reasonable detail the nature of such facts and circumstances. In particular, but without limiting the foregoing, the Servicer shall notify the Administrative Agent in the manner set forth in the preceding sentence before any Cut-Off Date of any facts or circumstances within the knowledge of the Servicer which would render any of the said representations and warranties untrue at the date when such representations and warranties were made or deemed to have been made.</w:t>
      </w:r>
    </w:p>
    <w:p>
      <w:pPr>
        <w:spacing w:after="0" w:line="85" w:lineRule="exact"/>
        <w:rPr>
          <w:rFonts w:ascii="Arial" w:cs="Arial" w:eastAsia="Arial" w:hAnsi="Arial"/>
          <w:sz w:val="18"/>
          <w:szCs w:val="18"/>
          <w:color w:val="auto"/>
        </w:rPr>
      </w:pPr>
    </w:p>
    <w:p>
      <w:pPr>
        <w:ind w:right="140" w:firstLine="989"/>
        <w:spacing w:after="0" w:line="292" w:lineRule="auto"/>
        <w:tabs>
          <w:tab w:leader="none" w:pos="128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Insurance Policies</w:t>
      </w:r>
      <w:r>
        <w:rPr>
          <w:rFonts w:ascii="Arial" w:cs="Arial" w:eastAsia="Arial" w:hAnsi="Arial"/>
          <w:sz w:val="16"/>
          <w:szCs w:val="16"/>
          <w:color w:val="auto"/>
        </w:rPr>
        <w:t xml:space="preserve">. The Servicer has caused, and will cause, to be performed any and all acts reasonably required to be performed to preserve the rights and remedies of the Collateral Agent and the Secured Parties in any Insurance Policies applicable to Loan Assets (to the extent the Servicer or an Affiliate of the Servicer is the agent or servicer under the applicable Loan Agreement) including, without limitation, in each case, any necessary notifications of insurers, assignments of policies or interests therein, and establishments of co-insured, joint loss payee and mortgagee rights in favor of the Collateral Agent and the Secured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the Borrower is the sole lender under such Loan Agreement, the Servicer shall only take such actions that are customarily taken by or on behalf of a lender in a syndicated loan facility to preserve the rights of such lender.</w:t>
      </w:r>
    </w:p>
    <w:p>
      <w:pPr>
        <w:spacing w:after="0" w:line="54" w:lineRule="exact"/>
        <w:rPr>
          <w:rFonts w:ascii="Arial" w:cs="Arial" w:eastAsia="Arial" w:hAnsi="Arial"/>
          <w:sz w:val="16"/>
          <w:szCs w:val="16"/>
          <w:color w:val="auto"/>
        </w:rPr>
      </w:pPr>
    </w:p>
    <w:p>
      <w:pPr>
        <w:jc w:val="both"/>
        <w:ind w:right="140" w:firstLine="989"/>
        <w:spacing w:after="0" w:line="258" w:lineRule="auto"/>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Disregarded Entity</w:t>
      </w:r>
      <w:r>
        <w:rPr>
          <w:rFonts w:ascii="Arial" w:cs="Arial" w:eastAsia="Arial" w:hAnsi="Arial"/>
          <w:sz w:val="18"/>
          <w:szCs w:val="18"/>
          <w:color w:val="auto"/>
        </w:rPr>
        <w:t>. The Servicer shall cause the Borrower to be disregarded as an entity separate from its owner pursuant to Treasury Regulation Section 301.7701-3(b) and shall cause that neither the Borrower nor any other Person on its behalf shall make an election to be, or take any other action that is reasonably likely to result in the Borrower being, treated as other than an entity disregarded from its owner under Treasury Regulation Section 301.7701-3(c).</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Negative Covenants of the Servicer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right="600" w:firstLine="989"/>
        <w:spacing w:after="0" w:line="305" w:lineRule="auto"/>
        <w:tabs>
          <w:tab w:leader="none" w:pos="1230"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Mergers, Acquisition, Sales, etc.</w:t>
      </w:r>
      <w:r>
        <w:rPr>
          <w:rFonts w:ascii="Arial" w:cs="Arial" w:eastAsia="Arial" w:hAnsi="Arial"/>
          <w:sz w:val="17"/>
          <w:szCs w:val="17"/>
          <w:color w:val="auto"/>
        </w:rPr>
        <w:t xml:space="preserve"> The Servicer will not consolidate with or merge into any other Person or convey or transfer its properties and assets substantially as an entirety to any Person, unless the Servicer is the surviving entity and unless: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960"/>
          </w:cols>
          <w:pgMar w:left="460" w:top="273" w:right="479" w:bottom="1440" w:gutter="0" w:footer="0" w:header="0"/>
        </w:sectPr>
      </w:pPr>
    </w:p>
    <w:bookmarkStart w:id="198" w:name="page199"/>
    <w:bookmarkEnd w:id="198"/>
    <w:p>
      <w:pPr>
        <w:ind w:left="400" w:right="200" w:firstLine="421"/>
        <w:spacing w:after="0" w:line="255" w:lineRule="auto"/>
        <w:tabs>
          <w:tab w:leader="none" w:pos="10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Servicer has delivered to the Administrative Agent an Officer’s Certificate and an Opinion of Counsel each stating that any such consolidation, merger, conveyance or transfer and any supplemental agreement executed in connection therewith comply with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and that all conditions precedent herein provided for relating to such transaction have been complied with and, in the case of the Opinion of Counsel, that such supplemental agreement is legal, valid and binding with respect to the Servicer and such other matters as the Administrative Agent may reasonably request;</w:t>
      </w:r>
    </w:p>
    <w:p>
      <w:pPr>
        <w:spacing w:after="0" w:line="82" w:lineRule="exact"/>
        <w:rPr>
          <w:rFonts w:ascii="Arial" w:cs="Arial" w:eastAsia="Arial" w:hAnsi="Arial"/>
          <w:sz w:val="18"/>
          <w:szCs w:val="18"/>
          <w:color w:val="auto"/>
        </w:rPr>
      </w:pPr>
    </w:p>
    <w:p>
      <w:pPr>
        <w:ind w:left="1080" w:hanging="259"/>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Servicer shall have delivered notice of such consolidation, merger, conveyance or transfer to the Administrative Agent;</w:t>
      </w:r>
    </w:p>
    <w:p>
      <w:pPr>
        <w:spacing w:after="0" w:line="115" w:lineRule="exact"/>
        <w:rPr>
          <w:rFonts w:ascii="Arial" w:cs="Arial" w:eastAsia="Arial" w:hAnsi="Arial"/>
          <w:sz w:val="18"/>
          <w:szCs w:val="18"/>
          <w:color w:val="auto"/>
        </w:rPr>
      </w:pPr>
    </w:p>
    <w:p>
      <w:pPr>
        <w:ind w:left="400" w:right="20" w:firstLine="421"/>
        <w:spacing w:after="0" w:line="275" w:lineRule="auto"/>
        <w:tabs>
          <w:tab w:leader="none" w:pos="113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after giving effect thereto, no Event of Default or Servicer Termination Event or event that with notice or lapse of time would constitute either an Event of Default or a Servicer Termination Event shall have occurred; and</w:t>
      </w:r>
    </w:p>
    <w:p>
      <w:pPr>
        <w:spacing w:after="0" w:line="63" w:lineRule="exact"/>
        <w:rPr>
          <w:rFonts w:ascii="Arial" w:cs="Arial" w:eastAsia="Arial" w:hAnsi="Arial"/>
          <w:sz w:val="18"/>
          <w:szCs w:val="18"/>
          <w:color w:val="auto"/>
        </w:rPr>
      </w:pPr>
    </w:p>
    <w:p>
      <w:pPr>
        <w:ind w:left="400" w:right="80" w:firstLine="421"/>
        <w:spacing w:after="0" w:line="275" w:lineRule="auto"/>
        <w:tabs>
          <w:tab w:leader="none" w:pos="11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Required Lenders shall have consented in writing to the extent such consolidation, merger, conveyance or transfer would result in a Change of Control.</w:t>
      </w:r>
    </w:p>
    <w:p>
      <w:pPr>
        <w:spacing w:after="0" w:line="63" w:lineRule="exact"/>
        <w:rPr>
          <w:rFonts w:ascii="Arial" w:cs="Arial" w:eastAsia="Arial" w:hAnsi="Arial"/>
          <w:sz w:val="18"/>
          <w:szCs w:val="18"/>
          <w:color w:val="auto"/>
        </w:rPr>
      </w:pPr>
    </w:p>
    <w:p>
      <w:pPr>
        <w:ind w:left="-40" w:firstLine="989"/>
        <w:spacing w:after="0" w:line="287" w:lineRule="auto"/>
        <w:tabs>
          <w:tab w:leader="none" w:pos="1200"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Change of Jurisdiction, Location, Names or Location of Loan Asset Files</w:t>
      </w:r>
      <w:r>
        <w:rPr>
          <w:rFonts w:ascii="Arial" w:cs="Arial" w:eastAsia="Arial" w:hAnsi="Arial"/>
          <w:sz w:val="16"/>
          <w:szCs w:val="16"/>
          <w:color w:val="auto"/>
        </w:rPr>
        <w:t xml:space="preserve">. The Servicer shall not change the jurisdiction of its incorporation, make any change to its corporate name, change the location of its principal place of business and chief executive office unless prior to the effective date of any such change of location, the Servicer shall have provided not less than 30 days’ prior written notice to the Administrative Agent of such change of location. The Servicer shall not change the offices where it keeps records concerning the Collateral Portfolio from the address set forth under its name in </w:t>
      </w:r>
      <w:r>
        <w:rPr>
          <w:rFonts w:ascii="Arial" w:cs="Arial" w:eastAsia="Arial" w:hAnsi="Arial"/>
          <w:sz w:val="16"/>
          <w:szCs w:val="16"/>
          <w:u w:val="single" w:color="auto"/>
          <w:color w:val="auto"/>
        </w:rPr>
        <w:t>Section 12.02</w:t>
      </w:r>
      <w:r>
        <w:rPr>
          <w:rFonts w:ascii="Arial" w:cs="Arial" w:eastAsia="Arial" w:hAnsi="Arial"/>
          <w:sz w:val="16"/>
          <w:szCs w:val="16"/>
          <w:color w:val="auto"/>
        </w:rPr>
        <w:t>, or move, or consent to the Collateral Custodian moving, the Required Loan Documents and Loan Asset Files from the location thereof on the Closing Date, unless the Servicer shall have provided not less than 30 days’ prior written notice to the Administrative Agent of such change of location and the Servicer shall have provided the Administrative Agent with such Opinions of Counsel and other documents and instruments as the Administrative Agent may request in connection therewith, and the Servicer has provided a certificate to the Administrative Agent together with evidence demonstrating that it has taken all actions required under the UCC of each relevant jurisdiction in order to continue the first priority perfected security interest of the Collateral Agent, for the benefit of the Secured Parties, in the Collateral Portfolio.</w:t>
      </w:r>
    </w:p>
    <w:p>
      <w:pPr>
        <w:spacing w:after="0" w:line="57" w:lineRule="exact"/>
        <w:rPr>
          <w:rFonts w:ascii="Arial" w:cs="Arial" w:eastAsia="Arial" w:hAnsi="Arial"/>
          <w:sz w:val="16"/>
          <w:szCs w:val="16"/>
          <w:color w:val="auto"/>
        </w:rPr>
      </w:pPr>
    </w:p>
    <w:p>
      <w:pPr>
        <w:jc w:val="both"/>
        <w:ind w:left="-40" w:right="20" w:firstLine="989"/>
        <w:spacing w:after="0" w:line="258" w:lineRule="auto"/>
        <w:tabs>
          <w:tab w:leader="none" w:pos="1190"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Change in Payment Instructions to Obligors</w:t>
      </w:r>
      <w:r>
        <w:rPr>
          <w:rFonts w:ascii="Arial" w:cs="Arial" w:eastAsia="Arial" w:hAnsi="Arial"/>
          <w:sz w:val="18"/>
          <w:szCs w:val="18"/>
          <w:color w:val="auto"/>
        </w:rPr>
        <w:t>. The Servicer will not make any change in its instructions to Obligors regarding payments to be made with respect to the Collateral Portfolio exclusively to the Collection Account (other than new direction letters in connection with any change to the Collateral Account), except to another account subject to the “control” (as such term is defined under Section 9-102 of the UCC) of the Collateral Agent and the Administrative Agent has consented to such change.</w:t>
      </w:r>
    </w:p>
    <w:p>
      <w:pPr>
        <w:spacing w:after="0" w:line="77" w:lineRule="exact"/>
        <w:rPr>
          <w:rFonts w:ascii="Arial" w:cs="Arial" w:eastAsia="Arial" w:hAnsi="Arial"/>
          <w:sz w:val="18"/>
          <w:szCs w:val="18"/>
          <w:color w:val="auto"/>
        </w:rPr>
      </w:pPr>
    </w:p>
    <w:p>
      <w:pPr>
        <w:ind w:left="-40" w:right="240" w:firstLine="989"/>
        <w:spacing w:after="0" w:line="275" w:lineRule="auto"/>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u w:val="single" w:color="auto"/>
          <w:color w:val="auto"/>
        </w:rPr>
        <w:t>Extension or Amendment of Loan Assets</w:t>
      </w:r>
      <w:r>
        <w:rPr>
          <w:rFonts w:ascii="Arial" w:cs="Arial" w:eastAsia="Arial" w:hAnsi="Arial"/>
          <w:sz w:val="18"/>
          <w:szCs w:val="18"/>
          <w:color w:val="auto"/>
        </w:rPr>
        <w:t xml:space="preserve">. The Servicer will not, except as otherwise permitted in </w:t>
      </w:r>
      <w:r>
        <w:rPr>
          <w:rFonts w:ascii="Arial" w:cs="Arial" w:eastAsia="Arial" w:hAnsi="Arial"/>
          <w:sz w:val="18"/>
          <w:szCs w:val="18"/>
          <w:u w:val="single" w:color="auto"/>
          <w:color w:val="auto"/>
        </w:rPr>
        <w:t>Section 6.04(a)</w:t>
      </w:r>
      <w:r>
        <w:rPr>
          <w:rFonts w:ascii="Arial" w:cs="Arial" w:eastAsia="Arial" w:hAnsi="Arial"/>
          <w:sz w:val="18"/>
          <w:szCs w:val="18"/>
          <w:color w:val="auto"/>
        </w:rPr>
        <w:t>, extend, amend or otherwise modify the terms of any Loan Asset (including the Underlying Collateral).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880"/>
          </w:cols>
          <w:pgMar w:left="500" w:top="273" w:right="519" w:bottom="1440" w:gutter="0" w:footer="0" w:header="0"/>
        </w:sectPr>
      </w:pPr>
    </w:p>
    <w:bookmarkStart w:id="199" w:name="page200"/>
    <w:bookmarkEnd w:id="199"/>
    <w:p>
      <w:pPr>
        <w:ind w:left="-980" w:right="260" w:firstLine="989"/>
        <w:spacing w:after="0" w:line="258" w:lineRule="auto"/>
        <w:tabs>
          <w:tab w:leader="none" w:pos="25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Taxable Mortgage Pool Matters</w:t>
      </w:r>
      <w:r>
        <w:rPr>
          <w:rFonts w:ascii="Arial" w:cs="Arial" w:eastAsia="Arial" w:hAnsi="Arial"/>
          <w:sz w:val="18"/>
          <w:szCs w:val="18"/>
          <w:color w:val="auto"/>
        </w:rPr>
        <w:t>. The Servicer will manage the portfolio and advise the Borrower with respect to purchases from the Transferor so as to not at any time allow the sum of the Outstanding Principal Balances of all Loan Assets owned by the Borrower and that are principally secured by an interest in real property (within the meaning of Treasury Regulation Section 301.7701(i)-1(d)(3)) to exceed 35% of the aggregate Outstanding Principal Balance of all Loan Assets.</w:t>
      </w:r>
    </w:p>
    <w:p>
      <w:pPr>
        <w:spacing w:after="0" w:line="77" w:lineRule="exact"/>
        <w:rPr>
          <w:rFonts w:ascii="Arial" w:cs="Arial" w:eastAsia="Arial" w:hAnsi="Arial"/>
          <w:sz w:val="18"/>
          <w:szCs w:val="18"/>
          <w:color w:val="auto"/>
        </w:rPr>
      </w:pPr>
    </w:p>
    <w:p>
      <w:pPr>
        <w:ind w:left="-980" w:right="100" w:firstLine="989"/>
        <w:spacing w:after="0" w:line="277" w:lineRule="auto"/>
        <w:tabs>
          <w:tab w:leader="none" w:pos="230"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Allocation of Charges</w:t>
      </w:r>
      <w:r>
        <w:rPr>
          <w:rFonts w:ascii="Arial" w:cs="Arial" w:eastAsia="Arial" w:hAnsi="Arial"/>
          <w:sz w:val="17"/>
          <w:szCs w:val="17"/>
          <w:color w:val="auto"/>
        </w:rPr>
        <w:t xml:space="preserve">. There will not be any agreement or understanding between the Servicer and the Borrower (other than as expressly set forth herein or as consented to by the Administrative Agent), providing for the allocation or sharing of obligations to make payments or otherwise in respect of any Taxes, fees, assessments or other governmental charges;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and acknowledged that the Borrower will be consolidated with or treated as a disregarded entity of the Servicer for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Affirmative Covenants of the Collateral Custodian</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left="260" w:hanging="251"/>
        <w:spacing w:after="0"/>
        <w:tabs>
          <w:tab w:leader="none" w:pos="26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Collateral Custodian will comply in all material respects with all Applicable Law.</w:t>
      </w:r>
    </w:p>
    <w:p>
      <w:pPr>
        <w:spacing w:after="0" w:line="115" w:lineRule="exact"/>
        <w:rPr>
          <w:rFonts w:ascii="Arial" w:cs="Arial" w:eastAsia="Arial" w:hAnsi="Arial"/>
          <w:sz w:val="18"/>
          <w:szCs w:val="18"/>
          <w:color w:val="auto"/>
        </w:rPr>
      </w:pPr>
    </w:p>
    <w:p>
      <w:pPr>
        <w:ind w:left="-980" w:firstLine="989"/>
        <w:spacing w:after="0" w:line="284" w:lineRule="auto"/>
        <w:tabs>
          <w:tab w:leader="none" w:pos="260" w:val="left"/>
        </w:tabs>
        <w:numPr>
          <w:ilvl w:val="0"/>
          <w:numId w:val="187"/>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w:t>
      </w:r>
      <w:r>
        <w:rPr>
          <w:rFonts w:ascii="Arial" w:cs="Arial" w:eastAsia="Arial" w:hAnsi="Arial"/>
          <w:sz w:val="17"/>
          <w:szCs w:val="17"/>
          <w:color w:val="auto"/>
        </w:rPr>
        <w:t>. The Collateral Custodian will preserve and maintain its existence, rights, franchises and privileges in the jurisdiction of its formation and qualify and remain qualified in good standing in each jurisdiction where failure to preserve and maintain such existence, rights, franchises, privileges and qualification could reasonably be expected to have a Material Adverse Effect.</w:t>
      </w:r>
    </w:p>
    <w:p>
      <w:pPr>
        <w:spacing w:after="0" w:line="58" w:lineRule="exact"/>
        <w:rPr>
          <w:rFonts w:ascii="Arial" w:cs="Arial" w:eastAsia="Arial" w:hAnsi="Arial"/>
          <w:sz w:val="17"/>
          <w:szCs w:val="17"/>
          <w:color w:val="auto"/>
        </w:rPr>
      </w:pPr>
    </w:p>
    <w:p>
      <w:pPr>
        <w:ind w:left="-980" w:right="20" w:firstLine="989"/>
        <w:spacing w:after="0" w:line="255" w:lineRule="auto"/>
        <w:tabs>
          <w:tab w:leader="none" w:pos="250"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Location of Required Loan Documents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of this Agreement, the Required Loan Documents shall remain at all times in the possession of the Collateral Custodian at the address set forth under its name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unless notice of a different address is given in accordance with the terms hereof or unless the Administrative Agent agrees to allow certain Required Loan Documents to be released to the Servicer on a temporary basis in accordance with the terms hereof, except as such Required Loan Documents may be released pursuant to the terms of this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Negative Covenants of the Collateral Custodian</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left="-980" w:right="80" w:firstLine="989"/>
        <w:spacing w:after="0" w:line="262" w:lineRule="auto"/>
        <w:tabs>
          <w:tab w:leader="none" w:pos="25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Required Loan Documents</w:t>
      </w:r>
      <w:r>
        <w:rPr>
          <w:rFonts w:ascii="Arial" w:cs="Arial" w:eastAsia="Arial" w:hAnsi="Arial"/>
          <w:sz w:val="18"/>
          <w:szCs w:val="18"/>
          <w:color w:val="auto"/>
        </w:rPr>
        <w:t>. The Collateral Custodian will not dispose of any documents constituting the Required Loan Documents in any manner that is inconsistent with the performance of its obligations as the Collateral Custodian pursuant to this Agreement and will not dispose of any Collateral Portfolio except as contemplated by this Agreement.</w:t>
      </w:r>
    </w:p>
    <w:p>
      <w:pPr>
        <w:spacing w:after="0" w:line="74" w:lineRule="exact"/>
        <w:rPr>
          <w:rFonts w:ascii="Arial" w:cs="Arial" w:eastAsia="Arial" w:hAnsi="Arial"/>
          <w:sz w:val="18"/>
          <w:szCs w:val="18"/>
          <w:color w:val="auto"/>
        </w:rPr>
      </w:pPr>
    </w:p>
    <w:p>
      <w:pPr>
        <w:ind w:left="-980" w:right="560" w:firstLine="989"/>
        <w:spacing w:after="0" w:line="275" w:lineRule="auto"/>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No Changes in Collateral Custodian Fees</w:t>
      </w:r>
      <w:r>
        <w:rPr>
          <w:rFonts w:ascii="Arial" w:cs="Arial" w:eastAsia="Arial" w:hAnsi="Arial"/>
          <w:sz w:val="18"/>
          <w:szCs w:val="18"/>
          <w:color w:val="auto"/>
        </w:rPr>
        <w:t>. The Collateral Custodian will not make any changes to the Collateral Custodian Fees without the prior written approval of the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Affirmative Covenants of the Backup Servicer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left="260" w:hanging="251"/>
        <w:spacing w:after="0"/>
        <w:tabs>
          <w:tab w:leader="none" w:pos="26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w:t>
      </w:r>
      <w:r>
        <w:rPr>
          <w:rFonts w:ascii="Arial" w:cs="Arial" w:eastAsia="Arial" w:hAnsi="Arial"/>
          <w:sz w:val="18"/>
          <w:szCs w:val="18"/>
          <w:color w:val="auto"/>
        </w:rPr>
        <w:t>. The Backup Servicer will comply in all material respects with all Applicable Law.</w:t>
      </w:r>
    </w:p>
    <w:p>
      <w:pPr>
        <w:spacing w:after="0" w:line="155"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-137-</w:t>
      </w:r>
    </w:p>
    <w:p>
      <w:pPr>
        <w:sectPr>
          <w:pgSz w:w="11900" w:h="16838" w:orient="portrait"/>
          <w:cols w:equalWidth="0" w:num="1">
            <w:col w:w="9960"/>
          </w:cols>
          <w:pgMar w:left="1440" w:top="273" w:right="499" w:bottom="1440" w:gutter="0" w:footer="0" w:header="0"/>
        </w:sectPr>
      </w:pPr>
    </w:p>
    <w:bookmarkStart w:id="200" w:name="page201"/>
    <w:bookmarkEnd w:id="200"/>
    <w:p>
      <w:pPr>
        <w:ind w:right="20" w:firstLine="989"/>
        <w:spacing w:after="0" w:line="262" w:lineRule="auto"/>
        <w:tabs>
          <w:tab w:leader="none" w:pos="12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Preservation of Existence</w:t>
      </w:r>
      <w:r>
        <w:rPr>
          <w:rFonts w:ascii="Arial" w:cs="Arial" w:eastAsia="Arial" w:hAnsi="Arial"/>
          <w:sz w:val="18"/>
          <w:szCs w:val="18"/>
          <w:color w:val="auto"/>
        </w:rPr>
        <w:t>. The Backup Servicer will preserve and maintain its existence, rights, franchises and privileges in the jurisdiction of its formation and qualify and remain qualified in good standing in each jurisdiction where failure to preserve and maintain such existence, rights, franchises, privileges and qualification could reasonably be expected to have a Material Adverse Effect.</w:t>
      </w:r>
    </w:p>
    <w:p>
      <w:pPr>
        <w:spacing w:after="0" w:line="74" w:lineRule="exact"/>
        <w:rPr>
          <w:rFonts w:ascii="Arial" w:cs="Arial" w:eastAsia="Arial" w:hAnsi="Arial"/>
          <w:sz w:val="18"/>
          <w:szCs w:val="18"/>
          <w:color w:val="auto"/>
        </w:rPr>
      </w:pPr>
    </w:p>
    <w:p>
      <w:pPr>
        <w:ind w:right="60" w:firstLine="989"/>
        <w:spacing w:after="0" w:line="255" w:lineRule="auto"/>
        <w:tabs>
          <w:tab w:leader="none" w:pos="123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Location of Required Loan Documents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Article XIII</w:t>
      </w:r>
      <w:r>
        <w:rPr>
          <w:rFonts w:ascii="Arial" w:cs="Arial" w:eastAsia="Arial" w:hAnsi="Arial"/>
          <w:sz w:val="18"/>
          <w:szCs w:val="18"/>
          <w:color w:val="auto"/>
        </w:rPr>
        <w:t xml:space="preserve"> of this Agreement, the Required Loan Documents shall remain at all times in the possession of the Backup Servicer at the address set forth under its name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unless notice of a different address is given in accordance with the terms hereof or unless the Administrative Agent agrees to allow certain Required Loan Documents to be released to the Servicer on a temporary basis in accordance with the terms hereof, except as such Required Loan Documents may be released pursuant to the terms of this Agreement.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Negative Covenants of the Backup Servicer</w:t>
      </w:r>
      <w:r>
        <w:rPr>
          <w:rFonts w:ascii="Arial" w:cs="Arial" w:eastAsia="Arial" w:hAnsi="Arial"/>
          <w:sz w:val="18"/>
          <w:szCs w:val="18"/>
          <w:color w:val="auto"/>
        </w:rPr>
        <w:t>. From the Closing Date until the Collection Date:</w:t>
      </w:r>
    </w:p>
    <w:p>
      <w:pPr>
        <w:spacing w:after="0" w:line="115" w:lineRule="exact"/>
        <w:rPr>
          <w:sz w:val="20"/>
          <w:szCs w:val="20"/>
          <w:color w:val="auto"/>
        </w:rPr>
      </w:pPr>
    </w:p>
    <w:p>
      <w:pPr>
        <w:ind w:right="80" w:firstLine="989"/>
        <w:spacing w:after="0" w:line="262" w:lineRule="auto"/>
        <w:tabs>
          <w:tab w:leader="none" w:pos="123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Required Loan Documents</w:t>
      </w:r>
      <w:r>
        <w:rPr>
          <w:rFonts w:ascii="Arial" w:cs="Arial" w:eastAsia="Arial" w:hAnsi="Arial"/>
          <w:sz w:val="18"/>
          <w:szCs w:val="18"/>
          <w:color w:val="auto"/>
        </w:rPr>
        <w:t>. The Backup Servicer will not dispose of any documents constituting the Required Loan Documents in any manner that is inconsistent with the performance of its obligations as the Backup Servicer pursuant to this Agreement and will not dispose of any Collateral Portfolio except as contemplated by this Agreement.</w:t>
      </w:r>
    </w:p>
    <w:p>
      <w:pPr>
        <w:spacing w:after="0" w:line="74" w:lineRule="exact"/>
        <w:rPr>
          <w:rFonts w:ascii="Arial" w:cs="Arial" w:eastAsia="Arial" w:hAnsi="Arial"/>
          <w:sz w:val="18"/>
          <w:szCs w:val="18"/>
          <w:color w:val="auto"/>
        </w:rPr>
      </w:pPr>
    </w:p>
    <w:p>
      <w:pPr>
        <w:ind w:right="180" w:firstLine="989"/>
        <w:spacing w:after="0" w:line="275" w:lineRule="auto"/>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No Changes in Backup Servicer Fees</w:t>
      </w:r>
      <w:r>
        <w:rPr>
          <w:rFonts w:ascii="Arial" w:cs="Arial" w:eastAsia="Arial" w:hAnsi="Arial"/>
          <w:sz w:val="18"/>
          <w:szCs w:val="18"/>
          <w:color w:val="auto"/>
        </w:rPr>
        <w:t>. The Backup Servicer will not make any changes to the Backup Servicer Fees without the prior written approval of the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ADMINISTRATION AND SERVICING OF CONTRACTS</w:t>
      </w:r>
    </w:p>
    <w:p>
      <w:pPr>
        <w:spacing w:after="0" w:line="2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Appointment and Designation of the Servicer</w:t>
      </w:r>
      <w:r>
        <w:rPr>
          <w:rFonts w:ascii="Arial" w:cs="Arial" w:eastAsia="Arial" w:hAnsi="Arial"/>
          <w:sz w:val="18"/>
          <w:szCs w:val="18"/>
          <w:color w:val="auto"/>
        </w:rPr>
        <w:t>.</w:t>
      </w:r>
    </w:p>
    <w:p>
      <w:pPr>
        <w:spacing w:after="0" w:line="115" w:lineRule="exact"/>
        <w:rPr>
          <w:sz w:val="20"/>
          <w:szCs w:val="20"/>
          <w:color w:val="auto"/>
        </w:rPr>
      </w:pPr>
    </w:p>
    <w:p>
      <w:pPr>
        <w:ind w:right="100" w:firstLine="989"/>
        <w:spacing w:after="0" w:line="254" w:lineRule="auto"/>
        <w:tabs>
          <w:tab w:leader="none" w:pos="1230"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Initial Servicer</w:t>
      </w:r>
      <w:r>
        <w:rPr>
          <w:rFonts w:ascii="Arial" w:cs="Arial" w:eastAsia="Arial" w:hAnsi="Arial"/>
          <w:sz w:val="18"/>
          <w:szCs w:val="18"/>
          <w:color w:val="auto"/>
        </w:rPr>
        <w:t>. The Borrower, each Lender Agent and the Administrative Agent hereby appoint Solar Capital, pursuant to the terms and conditions of this Agreement, as Servicer, with the authority to service, administer and exercise rights and remedies, on behalf of the Borrower, in respect of the Collateral Portfolio. Solar Capital hereby accepts such appointment and agrees to perform the duties and responsibilities of the Servicer pursuant to the terms hereof until such time as it receives a Servicer Termination Notice from the Administrative Agent. The Servicer and the Borrower hereby acknowledge that the Administrative Agent and the Secured Parties are third party beneficiaries of the obligations undertaken by the Servicer hereunder.</w:t>
      </w:r>
    </w:p>
    <w:p>
      <w:pPr>
        <w:spacing w:after="0" w:line="83" w:lineRule="exact"/>
        <w:rPr>
          <w:rFonts w:ascii="Arial" w:cs="Arial" w:eastAsia="Arial" w:hAnsi="Arial"/>
          <w:sz w:val="18"/>
          <w:szCs w:val="18"/>
          <w:color w:val="auto"/>
        </w:rPr>
      </w:pPr>
    </w:p>
    <w:p>
      <w:pPr>
        <w:ind w:firstLine="989"/>
        <w:spacing w:after="0" w:line="277" w:lineRule="auto"/>
        <w:tabs>
          <w:tab w:leader="none" w:pos="124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Servicer Termination Notice</w:t>
      </w:r>
      <w:r>
        <w:rPr>
          <w:rFonts w:ascii="Arial" w:cs="Arial" w:eastAsia="Arial" w:hAnsi="Arial"/>
          <w:sz w:val="17"/>
          <w:szCs w:val="17"/>
          <w:color w:val="auto"/>
        </w:rPr>
        <w:t>. The Borrower, the Servicer, each Lender Agent, and the Administrative Agent hereby agree that, upon the occurrence of a Servicer Replacement Event, the Administrative Agent, by written notice to the Servicer (with a copy to the Collateral Agent and the Backup Servicer) (a “</w:t>
      </w:r>
      <w:r>
        <w:rPr>
          <w:rFonts w:ascii="Arial" w:cs="Arial" w:eastAsia="Arial" w:hAnsi="Arial"/>
          <w:sz w:val="17"/>
          <w:szCs w:val="17"/>
          <w:u w:val="single" w:color="auto"/>
          <w:color w:val="auto"/>
        </w:rPr>
        <w:t>Servicer Termination Notice</w:t>
      </w:r>
      <w:r>
        <w:rPr>
          <w:rFonts w:ascii="Arial" w:cs="Arial" w:eastAsia="Arial" w:hAnsi="Arial"/>
          <w:sz w:val="17"/>
          <w:szCs w:val="17"/>
          <w:color w:val="auto"/>
        </w:rPr>
        <w:t>”), may (and shall, upon the direction of the Majority Lenders) terminate all of the rights, obligations, power and authority of the Servicer under this Agreement. On and after the receipt by the Servicer of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60"/>
          </w:cols>
          <w:pgMar w:left="460" w:top="273" w:right="479" w:bottom="1440" w:gutter="0" w:footer="0" w:header="0"/>
        </w:sectPr>
      </w:pPr>
    </w:p>
    <w:bookmarkStart w:id="201" w:name="page202"/>
    <w:bookmarkEnd w:id="201"/>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Servicer Termination Notice pursuant to this </w:t>
      </w:r>
      <w:r>
        <w:rPr>
          <w:rFonts w:ascii="Arial" w:cs="Arial" w:eastAsia="Arial" w:hAnsi="Arial"/>
          <w:sz w:val="17"/>
          <w:szCs w:val="17"/>
          <w:u w:val="single" w:color="auto"/>
          <w:color w:val="auto"/>
        </w:rPr>
        <w:t>Section 6.01(b)</w:t>
      </w:r>
      <w:r>
        <w:rPr>
          <w:rFonts w:ascii="Arial" w:cs="Arial" w:eastAsia="Arial" w:hAnsi="Arial"/>
          <w:sz w:val="17"/>
          <w:szCs w:val="17"/>
          <w:color w:val="auto"/>
        </w:rPr>
        <w:t xml:space="preserve">, the Servicer shall continue to perform all servicing functions under this Agreement until the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and the Administrative Agent and shall be entitled to receive, to the extent of funds available therefor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the Servicing Fees therefor accrued until such date. After such date, the Servicer agrees that it will terminate its activities as Servicer hereunder in a manner that the Administrative Agent believes will facilitate the transition of the performance of such activities to a successor Servicer, and the successor Servicer shall assume each and all of the Servicer’s obligations to service and administer the Collateral Portfolio, on the terms and subject to the conditions herein set forth, and the Servicer shall use its best efforts to assist the successor Servicer in assuming such obligations.</w:t>
      </w:r>
    </w:p>
    <w:p>
      <w:pPr>
        <w:spacing w:after="0" w:line="75" w:lineRule="exact"/>
        <w:rPr>
          <w:sz w:val="20"/>
          <w:szCs w:val="20"/>
          <w:color w:val="auto"/>
        </w:rPr>
      </w:pPr>
    </w:p>
    <w:p>
      <w:pPr>
        <w:ind w:firstLine="989"/>
        <w:spacing w:after="0" w:line="270" w:lineRule="auto"/>
        <w:tabs>
          <w:tab w:leader="none" w:pos="123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Appointment of Replacement Servicer</w:t>
      </w:r>
      <w:r>
        <w:rPr>
          <w:rFonts w:ascii="Arial" w:cs="Arial" w:eastAsia="Arial" w:hAnsi="Arial"/>
          <w:sz w:val="17"/>
          <w:szCs w:val="17"/>
          <w:color w:val="auto"/>
        </w:rPr>
        <w:t>. At any time following the delivery of a Servicer Termination Notice, the Administrative Agent may, at its discretion (and shall, upon the direction of the Majority Lenders), (i) appoint the Backup Servicer as Servicer under this Agreement and, in such case, all authority, power, rights and obligations of the Servicer shall pass to and be vested in the Backup Servicer or (ii) appoint a new Servicer (the “</w:t>
      </w:r>
      <w:r>
        <w:rPr>
          <w:rFonts w:ascii="Arial" w:cs="Arial" w:eastAsia="Arial" w:hAnsi="Arial"/>
          <w:sz w:val="17"/>
          <w:szCs w:val="17"/>
          <w:u w:val="single" w:color="auto"/>
          <w:color w:val="auto"/>
        </w:rPr>
        <w:t>Replacement Servicer</w:t>
      </w:r>
      <w:r>
        <w:rPr>
          <w:rFonts w:ascii="Arial" w:cs="Arial" w:eastAsia="Arial" w:hAnsi="Arial"/>
          <w:sz w:val="17"/>
          <w:szCs w:val="17"/>
          <w:color w:val="auto"/>
        </w:rPr>
        <w:t>”), with the consent of the Backup Servicer (which consent shall not be unreasonably withheld), which appointment shall take effect upon the Replacement Servicer accepting such appointment by a written assumption in a form satisfactory to the Administrative Agent in its sole discretion. Any Replacement Servicer shall be an established financial institution, having a net worth of not less than United States $50,000,000 and whose regular business includes the servicing of assets similar to the Collateral Portfolio.</w:t>
      </w:r>
    </w:p>
    <w:p>
      <w:pPr>
        <w:spacing w:after="0" w:line="73" w:lineRule="exact"/>
        <w:rPr>
          <w:rFonts w:ascii="Arial" w:cs="Arial" w:eastAsia="Arial" w:hAnsi="Arial"/>
          <w:sz w:val="17"/>
          <w:szCs w:val="17"/>
          <w:color w:val="auto"/>
        </w:rPr>
      </w:pPr>
    </w:p>
    <w:p>
      <w:pPr>
        <w:ind w:right="60" w:firstLine="989"/>
        <w:spacing w:after="0" w:line="267" w:lineRule="auto"/>
        <w:tabs>
          <w:tab w:leader="none" w:pos="124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Liabilities and Obligations of Replacement Servicer</w:t>
      </w:r>
      <w:r>
        <w:rPr>
          <w:rFonts w:ascii="Arial" w:cs="Arial" w:eastAsia="Arial" w:hAnsi="Arial"/>
          <w:sz w:val="17"/>
          <w:szCs w:val="17"/>
          <w:color w:val="auto"/>
        </w:rPr>
        <w:t xml:space="preserve">. Upon its appointment, the Backup Servicer (or any Replacement Servicer)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Backup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Backup Servicer (or any Replacement Servicer) shall have (i) no liability with respect to any action performed by the terminated Servicer prior to the date that the Backup Servicer becomes the successor to the Servicer or any claim of a third party based on any alleged action or inaction of the terminated Servicer, (ii) no obligation to perform any advancing obligations, if any, of the Servicer unless it elects to in its sole discretion, (iii) no obligation to pay any Taxes required to be paid by the Servicer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Backup Servicer shall pay any income Taxes for which it is liable), (iv) no obligation to pay any of the fees and expenses of any other party to the transactions contemplated hereby, and (v) no liability or obligation with respect to any Servicer indemnification obligations of any prior Servicer, including the original Servicer. The indemnification obligations of the Backup Servicer or Replacement Servicer upon becoming a Servicer, are expressly limited to those arising on account of its gross negligence or willful misconduct, or the failure to perform materially in accordance with its duties and obligations set forth in this Agreement. In addition, the Backup Servicer or Replacement Servicer shall have no liability relating to the representations and warranties of the Servicer contained in </w:t>
      </w:r>
      <w:r>
        <w:rPr>
          <w:rFonts w:ascii="Arial" w:cs="Arial" w:eastAsia="Arial" w:hAnsi="Arial"/>
          <w:sz w:val="17"/>
          <w:szCs w:val="17"/>
          <w:u w:val="single" w:color="auto"/>
          <w:color w:val="auto"/>
        </w:rPr>
        <w:t>Section 4.03</w:t>
      </w:r>
      <w:r>
        <w:rPr>
          <w:rFonts w:ascii="Arial" w:cs="Arial" w:eastAsia="Arial" w:hAnsi="Arial"/>
          <w:sz w:val="17"/>
          <w:szCs w:val="17"/>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60"/>
          </w:cols>
          <w:pgMar w:left="460" w:top="273" w:right="479" w:bottom="1440" w:gutter="0" w:footer="0" w:header="0"/>
        </w:sectPr>
      </w:pPr>
    </w:p>
    <w:bookmarkStart w:id="202" w:name="page203"/>
    <w:bookmarkEnd w:id="202"/>
    <w:p>
      <w:pPr>
        <w:ind w:left="-60" w:right="140" w:firstLine="989"/>
        <w:spacing w:after="0" w:line="295" w:lineRule="auto"/>
        <w:tabs>
          <w:tab w:leader="none" w:pos="117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Authority and Power</w:t>
      </w:r>
      <w:r>
        <w:rPr>
          <w:rFonts w:ascii="Arial" w:cs="Arial" w:eastAsia="Arial" w:hAnsi="Arial"/>
          <w:sz w:val="16"/>
          <w:szCs w:val="16"/>
          <w:color w:val="auto"/>
        </w:rPr>
        <w:t>. All authority and power granted to the Servicer under this Agreement shall automatically cease and terminate upon termination of this Agreement and shall pass to and be vested in the Borrower and, without limitation,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 Borrower in effecting the termination of the responsibilities and rights of the Servicer to conduct servicing of the Collateral Portfolio.</w:t>
      </w:r>
    </w:p>
    <w:p>
      <w:pPr>
        <w:spacing w:after="0" w:line="51" w:lineRule="exact"/>
        <w:rPr>
          <w:rFonts w:ascii="Arial" w:cs="Arial" w:eastAsia="Arial" w:hAnsi="Arial"/>
          <w:sz w:val="16"/>
          <w:szCs w:val="16"/>
          <w:color w:val="auto"/>
        </w:rPr>
      </w:pPr>
    </w:p>
    <w:p>
      <w:pPr>
        <w:ind w:left="-60" w:right="120" w:firstLine="989"/>
        <w:spacing w:after="0" w:line="274" w:lineRule="auto"/>
        <w:tabs>
          <w:tab w:leader="none" w:pos="1150"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Subcontracts</w:t>
      </w:r>
      <w:r>
        <w:rPr>
          <w:rFonts w:ascii="Arial" w:cs="Arial" w:eastAsia="Arial" w:hAnsi="Arial"/>
          <w:sz w:val="17"/>
          <w:szCs w:val="17"/>
          <w:color w:val="auto"/>
        </w:rPr>
        <w:t xml:space="preserve">. The Servicer may, with the prior written consent of the Administrative Agent, subcontract with any other Person for servicing, administering or collecting the Collateral Portfolio;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Servicer shall select any such Person with reasonable care and shall be solely responsible for the fees and expenses payable to any such Person, (ii) the Servicer shall not be relieved of, and shall remain liable for, the performance of the duties and obligations of the Servicer pursuant to the terms hereof without regard to any subcontracting arrangement and (iii) any such subcontract shall be terminable upon the occurrence of a Servicer Termination Event.</w:t>
      </w:r>
    </w:p>
    <w:p>
      <w:pPr>
        <w:spacing w:after="0" w:line="66" w:lineRule="exact"/>
        <w:rPr>
          <w:rFonts w:ascii="Arial" w:cs="Arial" w:eastAsia="Arial" w:hAnsi="Arial"/>
          <w:sz w:val="17"/>
          <w:szCs w:val="17"/>
          <w:color w:val="auto"/>
        </w:rPr>
      </w:pPr>
    </w:p>
    <w:p>
      <w:pPr>
        <w:ind w:left="-60" w:firstLine="989"/>
        <w:spacing w:after="0" w:line="254" w:lineRule="auto"/>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Borrower acknowledges that the Administrative Agent or any of its Affiliates may act as the Collateral Agent or the Servicer, and the Borrower waives any and all claims against the Administrative Agent, each Lender Agent, each Lender or any of their respective Affiliates, the Collateral Agent and the Servicer (other than claims relating to such party’s gross negligence or willful misconduct as determined in a final decision by a court of competent jurisdiction) relating in any way to the custodial or collateral administration functions having been performed by the Administrative Agent or any of its Affiliates in accordance with the terms and provisions (including the standard of care) set forth in the Transaction Documents.</w:t>
      </w:r>
    </w:p>
    <w:p>
      <w:pPr>
        <w:spacing w:after="0" w:line="83" w:lineRule="exact"/>
        <w:rPr>
          <w:rFonts w:ascii="Arial" w:cs="Arial" w:eastAsia="Arial" w:hAnsi="Arial"/>
          <w:sz w:val="18"/>
          <w:szCs w:val="18"/>
          <w:color w:val="auto"/>
        </w:rPr>
      </w:pPr>
    </w:p>
    <w:p>
      <w:pPr>
        <w:jc w:val="both"/>
        <w:ind w:left="-60" w:right="280" w:firstLine="989"/>
        <w:spacing w:after="0" w:line="262" w:lineRule="auto"/>
        <w:tabs>
          <w:tab w:leader="none" w:pos="1180"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Servicer Merger</w:t>
      </w:r>
      <w:r>
        <w:rPr>
          <w:rFonts w:ascii="Arial" w:cs="Arial" w:eastAsia="Arial" w:hAnsi="Arial"/>
          <w:sz w:val="18"/>
          <w:szCs w:val="18"/>
          <w:color w:val="auto"/>
        </w:rPr>
        <w:t>. Notwithstanding anything else in the Transaction Documents to the contrary, on or around the date of the Merger between SLR Investment Corp. and SLR Senior Investment Corp., SLR Senior Investment Corp. will be replaced with SLR Investment Corp. as the successor of the merger within the Transaction Documents conditioned upon:</w:t>
      </w:r>
    </w:p>
    <w:p>
      <w:pPr>
        <w:spacing w:after="0" w:line="74" w:lineRule="exact"/>
        <w:rPr>
          <w:rFonts w:ascii="Arial" w:cs="Arial" w:eastAsia="Arial" w:hAnsi="Arial"/>
          <w:sz w:val="18"/>
          <w:szCs w:val="18"/>
          <w:color w:val="auto"/>
        </w:rPr>
      </w:pPr>
    </w:p>
    <w:p>
      <w:pPr>
        <w:ind w:left="380" w:right="640" w:firstLine="421"/>
        <w:spacing w:after="0" w:line="275" w:lineRule="auto"/>
        <w:tabs>
          <w:tab w:leader="none" w:pos="101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delivery of an opinion of counsel of the Servicer relating to this Merger, in form and substance reasonably satisfactory to the Administrative Agent; and</w:t>
      </w:r>
    </w:p>
    <w:p>
      <w:pPr>
        <w:spacing w:after="0" w:line="63" w:lineRule="exact"/>
        <w:rPr>
          <w:rFonts w:ascii="Arial" w:cs="Arial" w:eastAsia="Arial" w:hAnsi="Arial"/>
          <w:sz w:val="18"/>
          <w:szCs w:val="18"/>
          <w:color w:val="auto"/>
        </w:rPr>
      </w:pPr>
    </w:p>
    <w:p>
      <w:pPr>
        <w:ind w:left="1060" w:hanging="259"/>
        <w:spacing w:after="0"/>
        <w:tabs>
          <w:tab w:leader="none" w:pos="10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delivery of the certificate of merger between SLR Investment Corp. and SLR Senior Investment Corp.</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Duties of the Servicer</w:t>
      </w:r>
      <w:r>
        <w:rPr>
          <w:rFonts w:ascii="Arial" w:cs="Arial" w:eastAsia="Arial" w:hAnsi="Arial"/>
          <w:sz w:val="18"/>
          <w:szCs w:val="18"/>
          <w:color w:val="auto"/>
        </w:rPr>
        <w:t>.</w:t>
      </w:r>
    </w:p>
    <w:p>
      <w:pPr>
        <w:spacing w:after="0" w:line="115" w:lineRule="exact"/>
        <w:rPr>
          <w:sz w:val="20"/>
          <w:szCs w:val="20"/>
          <w:color w:val="auto"/>
        </w:rPr>
      </w:pPr>
    </w:p>
    <w:p>
      <w:pPr>
        <w:ind w:left="-60" w:right="20" w:firstLine="989"/>
        <w:spacing w:after="0" w:line="254" w:lineRule="auto"/>
        <w:tabs>
          <w:tab w:leader="none" w:pos="117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The Servicer shall take or cause to be taken all such actions as may be necessary or advisable to service, administer and collect on the Collateral Portfolio from time to time, all in accordance with Applicable Law, the Credit and Collection Policy (if Solar Capital is the Servicer) and the Servicing Standard. Prior to the occurrence of a Servicer Replacement Event, but subject to the terms of this Agreement (including, without limitation, </w:t>
      </w:r>
      <w:r>
        <w:rPr>
          <w:rFonts w:ascii="Arial" w:cs="Arial" w:eastAsia="Arial" w:hAnsi="Arial"/>
          <w:sz w:val="18"/>
          <w:szCs w:val="18"/>
          <w:u w:val="single" w:color="auto"/>
          <w:color w:val="auto"/>
        </w:rPr>
        <w:t>Section 6.04</w:t>
      </w:r>
      <w:r>
        <w:rPr>
          <w:rFonts w:ascii="Arial" w:cs="Arial" w:eastAsia="Arial" w:hAnsi="Arial"/>
          <w:sz w:val="18"/>
          <w:szCs w:val="18"/>
          <w:color w:val="auto"/>
        </w:rPr>
        <w:t>), the Servicer has the sole and exclusive authority to make any and all decisions with respect to the Collateral Portfolio and take or refrain from taking any and all actions with respect to the Collateral Portfolio. Without limiting the foregoing, the duties of the Servicer shall include the following: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840"/>
          </w:cols>
          <w:pgMar w:left="520" w:top="273" w:right="539" w:bottom="1440" w:gutter="0" w:footer="0" w:header="0"/>
        </w:sectPr>
      </w:pPr>
    </w:p>
    <w:bookmarkStart w:id="203" w:name="page204"/>
    <w:bookmarkEnd w:id="203"/>
    <w:p>
      <w:pPr>
        <w:ind w:right="240" w:firstLine="421"/>
        <w:spacing w:after="0" w:line="305" w:lineRule="auto"/>
        <w:tabs>
          <w:tab w:leader="none" w:pos="635"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supervising the Collateral Portfolio, including communicating with Obligors, executing amendments, providing consents and waivers, enforcing and collecting on the Collateral Portfolio and otherwise managing the Collateral Portfolio on behalf of the Borrower;</w:t>
      </w:r>
    </w:p>
    <w:p>
      <w:pPr>
        <w:spacing w:after="0" w:line="40" w:lineRule="exact"/>
        <w:rPr>
          <w:rFonts w:ascii="Arial" w:cs="Arial" w:eastAsia="Arial" w:hAnsi="Arial"/>
          <w:sz w:val="17"/>
          <w:szCs w:val="17"/>
          <w:color w:val="auto"/>
        </w:rPr>
      </w:pPr>
    </w:p>
    <w:p>
      <w:pPr>
        <w:ind w:right="120" w:firstLine="421"/>
        <w:spacing w:after="0" w:line="277" w:lineRule="auto"/>
        <w:tabs>
          <w:tab w:leader="none" w:pos="685"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maintaining all necessary servicing records with respect to the Collateral Portfolio and providing such reports to the Administrative Agent and each Lender Agent (with a copy to the Collateral Agent and the Collateral Custodian and the Backup Servicer) in respect of the servicing of the Collateral Portfolio (including information relating to its performance under this Agreement) as may be required hereunder or as the Administrative Agent, the Backup Servicer or any Lender Agent may reasonably request;</w:t>
      </w:r>
    </w:p>
    <w:p>
      <w:pPr>
        <w:spacing w:after="0" w:line="65" w:lineRule="exact"/>
        <w:rPr>
          <w:rFonts w:ascii="Arial" w:cs="Arial" w:eastAsia="Arial" w:hAnsi="Arial"/>
          <w:sz w:val="17"/>
          <w:szCs w:val="17"/>
          <w:color w:val="auto"/>
        </w:rPr>
      </w:pPr>
    </w:p>
    <w:p>
      <w:pPr>
        <w:ind w:right="200" w:firstLine="421"/>
        <w:spacing w:after="0" w:line="284" w:lineRule="auto"/>
        <w:tabs>
          <w:tab w:leader="none" w:pos="73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maintaining and implementing administrative and operating procedures (including, without limitation, an ability to recreate servicing records evidencing the Collateral Portfolio in the event of the destruction of the originals thereof) and keeping and maintaining all documents, books, records and other information reasonably necessary or advisable for the collection of the Collateral Portfolio;</w:t>
      </w:r>
    </w:p>
    <w:p>
      <w:pPr>
        <w:spacing w:after="0" w:line="58" w:lineRule="exact"/>
        <w:rPr>
          <w:rFonts w:ascii="Arial" w:cs="Arial" w:eastAsia="Arial" w:hAnsi="Arial"/>
          <w:sz w:val="17"/>
          <w:szCs w:val="17"/>
          <w:color w:val="auto"/>
        </w:rPr>
      </w:pPr>
    </w:p>
    <w:p>
      <w:pPr>
        <w:ind w:right="60" w:firstLine="421"/>
        <w:spacing w:after="0" w:line="258" w:lineRule="auto"/>
        <w:tabs>
          <w:tab w:leader="none" w:pos="7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promptly delivering to the Administrative Agent, each Lender Agent, the Collateral Agent, the Backup Servicer or the Collateral Custodian, from time to time, such information and servicing records (including information relating to its performance under this Agreement) as the Administrative Agent, each Lender Agent, Collateral Custodian, the Backup Servicer or the Collateral Agent may from time to time reasonably request;</w:t>
      </w:r>
    </w:p>
    <w:p>
      <w:pPr>
        <w:spacing w:after="0" w:line="77" w:lineRule="exact"/>
        <w:rPr>
          <w:rFonts w:ascii="Arial" w:cs="Arial" w:eastAsia="Arial" w:hAnsi="Arial"/>
          <w:sz w:val="18"/>
          <w:szCs w:val="18"/>
          <w:color w:val="auto"/>
        </w:rPr>
      </w:pPr>
    </w:p>
    <w:p>
      <w:pPr>
        <w:ind w:firstLine="421"/>
        <w:spacing w:after="0" w:line="275" w:lineRule="auto"/>
        <w:tabs>
          <w:tab w:leader="none" w:pos="67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identifying each Loan Asset clearly and unambiguously in its servicing records to reflect that such Loan Asset is owned by the Borrower and that the Borrower is Pledging a security interest therein to the Secured Parties pursuant to this Agreement;</w:t>
      </w:r>
    </w:p>
    <w:p>
      <w:pPr>
        <w:spacing w:after="0" w:line="63" w:lineRule="exact"/>
        <w:rPr>
          <w:rFonts w:ascii="Arial" w:cs="Arial" w:eastAsia="Arial" w:hAnsi="Arial"/>
          <w:sz w:val="18"/>
          <w:szCs w:val="18"/>
          <w:color w:val="auto"/>
        </w:rPr>
      </w:pPr>
    </w:p>
    <w:p>
      <w:pPr>
        <w:ind w:firstLine="421"/>
        <w:spacing w:after="0" w:line="310" w:lineRule="auto"/>
        <w:tabs>
          <w:tab w:leader="none" w:pos="72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notifying the Administrative Agent, the Backup Servicer and each Lender Agent of any material action, suit, proceeding, dispute, offset, deduction, defense or counterclaim (1) that is or is threatened to be asserted by an Obligor with respect to any Loan Asset (or portion thereof) of which it has knowledge or has received notice; or (2) that could reasonably be expected to have a Material Adverse Effect;</w:t>
      </w:r>
    </w:p>
    <w:p>
      <w:pPr>
        <w:spacing w:after="0" w:line="39" w:lineRule="exact"/>
        <w:rPr>
          <w:rFonts w:ascii="Arial" w:cs="Arial" w:eastAsia="Arial" w:hAnsi="Arial"/>
          <w:sz w:val="16"/>
          <w:szCs w:val="16"/>
          <w:color w:val="auto"/>
        </w:rPr>
      </w:pPr>
    </w:p>
    <w:p>
      <w:pPr>
        <w:ind w:left="780" w:hanging="359"/>
        <w:spacing w:after="0"/>
        <w:tabs>
          <w:tab w:leader="none" w:pos="7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notifying the Administrative Agent and each Lender Agent of any change to the Credit and Collection Policy;</w:t>
      </w:r>
    </w:p>
    <w:p>
      <w:pPr>
        <w:spacing w:after="0" w:line="115" w:lineRule="exact"/>
        <w:rPr>
          <w:rFonts w:ascii="Arial" w:cs="Arial" w:eastAsia="Arial" w:hAnsi="Arial"/>
          <w:sz w:val="18"/>
          <w:szCs w:val="18"/>
          <w:color w:val="auto"/>
        </w:rPr>
      </w:pPr>
    </w:p>
    <w:p>
      <w:pPr>
        <w:ind w:left="820" w:hanging="399"/>
        <w:spacing w:after="0"/>
        <w:tabs>
          <w:tab w:leader="none" w:pos="82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maintaining the perfected first priority security interest of the Collateral Agent, for the benefit of the Secured Parties, in the Collateral</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Portfolio;</w:t>
      </w:r>
    </w:p>
    <w:p>
      <w:pPr>
        <w:spacing w:after="0" w:line="100" w:lineRule="exact"/>
        <w:rPr>
          <w:rFonts w:ascii="Arial" w:cs="Arial" w:eastAsia="Arial" w:hAnsi="Arial"/>
          <w:sz w:val="16"/>
          <w:szCs w:val="16"/>
          <w:color w:val="auto"/>
        </w:rPr>
      </w:pPr>
    </w:p>
    <w:p>
      <w:pPr>
        <w:ind w:right="80" w:firstLine="421"/>
        <w:spacing w:after="0" w:line="262" w:lineRule="auto"/>
        <w:tabs>
          <w:tab w:leader="none" w:pos="72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maintaining the Loan Asset File with respect to Loan Assets included as part of the Collateral Portfolio;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Servicer is in possession of any Required Loan Documents, the Servicer will hold such Required Loan Documents in a fireproof safe or fireproof file cabinet;</w:t>
      </w:r>
    </w:p>
    <w:p>
      <w:pPr>
        <w:spacing w:after="0" w:line="11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480"/>
          </w:cols>
          <w:pgMar w:left="900" w:top="273" w:right="519" w:bottom="1440" w:gutter="0" w:footer="0" w:header="0"/>
        </w:sectPr>
      </w:pPr>
    </w:p>
    <w:bookmarkStart w:id="204" w:name="page205"/>
    <w:bookmarkEnd w:id="204"/>
    <w:p>
      <w:pPr>
        <w:ind w:left="1120" w:hanging="259"/>
        <w:spacing w:after="0"/>
        <w:tabs>
          <w:tab w:leader="none" w:pos="1120" w:val="left"/>
        </w:tabs>
        <w:numPr>
          <w:ilvl w:val="0"/>
          <w:numId w:val="1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directing the Collateral Agent to make payments pursuant to the terms of the Servicing Report in accordance with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27" w:lineRule="exact"/>
        <w:rPr>
          <w:rFonts w:ascii="Arial" w:cs="Arial" w:eastAsia="Arial" w:hAnsi="Arial"/>
          <w:sz w:val="17"/>
          <w:szCs w:val="17"/>
          <w:color w:val="auto"/>
        </w:rPr>
      </w:pPr>
    </w:p>
    <w:p>
      <w:pPr>
        <w:ind w:left="1160" w:hanging="299"/>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directing the sale or substitution of Collateral Portfolio in accordance with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1220" w:hanging="359"/>
        <w:spacing w:after="0"/>
        <w:tabs>
          <w:tab w:leader="none" w:pos="12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providing assistance to the Borrower with respect to the Purchase and Contribution of and payment for the Loan Assets;</w:t>
      </w:r>
    </w:p>
    <w:p>
      <w:pPr>
        <w:spacing w:after="0" w:line="115" w:lineRule="exact"/>
        <w:rPr>
          <w:rFonts w:ascii="Arial" w:cs="Arial" w:eastAsia="Arial" w:hAnsi="Arial"/>
          <w:sz w:val="18"/>
          <w:szCs w:val="18"/>
          <w:color w:val="auto"/>
        </w:rPr>
      </w:pPr>
    </w:p>
    <w:p>
      <w:pPr>
        <w:ind w:left="440" w:right="480" w:firstLine="421"/>
        <w:spacing w:after="0" w:line="275" w:lineRule="auto"/>
        <w:tabs>
          <w:tab w:leader="none" w:pos="126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instructing the Obligors and the administrative agents on the Loan Assets to make payments directly into the Collection Account established and maintained with the Collateral Agent;</w:t>
      </w:r>
    </w:p>
    <w:p>
      <w:pPr>
        <w:spacing w:after="0" w:line="63" w:lineRule="exact"/>
        <w:rPr>
          <w:rFonts w:ascii="Arial" w:cs="Arial" w:eastAsia="Arial" w:hAnsi="Arial"/>
          <w:sz w:val="18"/>
          <w:szCs w:val="18"/>
          <w:color w:val="auto"/>
        </w:rPr>
      </w:pPr>
    </w:p>
    <w:p>
      <w:pPr>
        <w:ind w:left="1260" w:hanging="399"/>
        <w:spacing w:after="0"/>
        <w:tabs>
          <w:tab w:leader="none" w:pos="1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delivering the Loan Asset Files and the Loan Asset Schedule to the Collateral Custodian;</w:t>
      </w:r>
    </w:p>
    <w:p>
      <w:pPr>
        <w:spacing w:after="0" w:line="115" w:lineRule="exact"/>
        <w:rPr>
          <w:rFonts w:ascii="Arial" w:cs="Arial" w:eastAsia="Arial" w:hAnsi="Arial"/>
          <w:sz w:val="18"/>
          <w:szCs w:val="18"/>
          <w:color w:val="auto"/>
        </w:rPr>
      </w:pPr>
    </w:p>
    <w:p>
      <w:pPr>
        <w:ind w:left="440" w:right="400" w:firstLine="421"/>
        <w:spacing w:after="0" w:line="275" w:lineRule="auto"/>
        <w:tabs>
          <w:tab w:leader="none" w:pos="12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taking all actions necessary in establishing the Advance Date Assigned Value, and Updated Assigned Value in accordance with the terms hereof (including paying the compensation of the Nationally Recognized Valuation Firms); and</w:t>
      </w:r>
    </w:p>
    <w:p>
      <w:pPr>
        <w:spacing w:after="0" w:line="63" w:lineRule="exact"/>
        <w:rPr>
          <w:rFonts w:ascii="Arial" w:cs="Arial" w:eastAsia="Arial" w:hAnsi="Arial"/>
          <w:sz w:val="18"/>
          <w:szCs w:val="18"/>
          <w:color w:val="auto"/>
        </w:rPr>
      </w:pPr>
    </w:p>
    <w:p>
      <w:pPr>
        <w:ind w:left="1260" w:hanging="399"/>
        <w:spacing w:after="0"/>
        <w:tabs>
          <w:tab w:leader="none" w:pos="12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complying with such other duties and responsibilities as may be required of the Servicer by this Agreement.</w:t>
      </w:r>
    </w:p>
    <w:p>
      <w:pPr>
        <w:spacing w:after="0" w:line="223" w:lineRule="exact"/>
        <w:rPr>
          <w:sz w:val="20"/>
          <w:szCs w:val="20"/>
          <w:color w:val="auto"/>
        </w:rPr>
      </w:pPr>
    </w:p>
    <w:p>
      <w:pPr>
        <w:ind w:firstLine="987"/>
        <w:spacing w:after="0" w:line="268" w:lineRule="auto"/>
        <w:rPr>
          <w:sz w:val="20"/>
          <w:szCs w:val="20"/>
          <w:color w:val="auto"/>
        </w:rPr>
      </w:pPr>
      <w:r>
        <w:rPr>
          <w:rFonts w:ascii="Arial" w:cs="Arial" w:eastAsia="Arial" w:hAnsi="Arial"/>
          <w:sz w:val="17"/>
          <w:szCs w:val="17"/>
          <w:color w:val="auto"/>
        </w:rPr>
        <w:t xml:space="preserve">It is acknowledged and agreed that in circumstances in which a Person other than the Borrower, the Transferor (so long as the Transferor is also the Servicer) or the Servicer acts as lead agent with respect to any Loan Asset, the Servicer shall perform its servicing duties hereunder only to the extent a lender under the related loan syndication Loan Agreements has the right to do so. Notwithstanding anything to the contrary contained herein, it is acknowledged and agreed that the performance by the Servicer of its duties hereunder shall be limited insofar as such performance would conflict with or result in a breach of any of the express terms of the related Loan Agreements;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Servicer shall (a) provide prompt written notice to the Administrative Agent and the Backup Servicer upon becoming aware of such conflict or breach, (b) have determined that there is no other commercially reasonable performance that it could render consistent with the express terms of the Loan Agreements which would result in all or a portion of the servicing duties being performed in accordance with this Agreement, and (c) undertake all commercially reasonable efforts to mitigate the effects of such non-performance including performing as much of the servicing duties as possible and performing such other commercially reasonable or similar duties consistent with the terms of the Loan Agreements.</w:t>
      </w:r>
    </w:p>
    <w:p>
      <w:pPr>
        <w:spacing w:after="0" w:line="75" w:lineRule="exact"/>
        <w:rPr>
          <w:sz w:val="20"/>
          <w:szCs w:val="20"/>
          <w:color w:val="auto"/>
        </w:rPr>
      </w:pPr>
    </w:p>
    <w:p>
      <w:pPr>
        <w:ind w:right="60" w:firstLine="989"/>
        <w:spacing w:after="0" w:line="255" w:lineRule="auto"/>
        <w:tabs>
          <w:tab w:leader="none" w:pos="12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the exercise by the Administrative Agent, the Collateral Agent, the Backup Servicer, each Lender Agent and the Secured Parties of their rights hereunder shall not release the Servicer, the Transferor or the Borrower from any of their duties or responsibilities with respect to the Collateral Portfolio. The Secured Parties, the Administrative Agent, the Backup Servicer, each Lender Agent and the Collateral Agent shall not have any obligation or liability with respect to any Collateral Portfolio, nor shall any of them be obligated to perform any of the obligations of the Servicer hereunder.</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0960"/>
          </w:cols>
          <w:pgMar w:left="460" w:top="273" w:right="479" w:bottom="1440" w:gutter="0" w:footer="0" w:header="0"/>
        </w:sectPr>
      </w:pPr>
    </w:p>
    <w:bookmarkStart w:id="205" w:name="page206"/>
    <w:bookmarkEnd w:id="205"/>
    <w:p>
      <w:pPr>
        <w:ind w:right="380" w:firstLine="989"/>
        <w:spacing w:after="0" w:line="277" w:lineRule="auto"/>
        <w:tabs>
          <w:tab w:leader="none" w:pos="1230" w:val="left"/>
        </w:tabs>
        <w:numPr>
          <w:ilvl w:val="0"/>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Any payment by an Obligor in respect of any indebtedness owed by it to the Transferor or the Borrower shall, except as 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2"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Authorization of the Servicer</w:t>
      </w:r>
      <w:r>
        <w:rPr>
          <w:rFonts w:ascii="Arial" w:cs="Arial" w:eastAsia="Arial" w:hAnsi="Arial"/>
          <w:sz w:val="16"/>
          <w:szCs w:val="16"/>
          <w:color w:val="auto"/>
        </w:rPr>
        <w:t>. (a) Each of the Borrower, the Administrative Agent, each Lender Agent and each Lender hereby authorizes the Servicer (including any successor thereto) to take any and all reasonable steps in its name and on its behalf necessary or desirable in the determination of the Servicer and not inconsistent with the contribution of the Collateral Portfolio by the Transferor to the Borrower under the Contribution Agreement and, thereafter, the Pledge by the Borrower to the Collateral Agent on behalf of the Secured Parties hereunder, to collect all amounts due under any and all Collateral Portfolio, including, without limitation, endorsing any of their names on checks and other instruments representing Interest Collections and Principal Collections, executing and delivering any and all instruments of satisfaction or cancellation, or of partial or full release or discharge, and all other comparable instruments, with respect to the Collateral Portfolio and, after the delinquency of any Collateral Portfolio and to the extent permitted under and in compliance with Applicable Law, to commence proceedings with respect to enforcing payment thereof, to the same extent as the Transferor could have done if it had continued to own such Collateral Portfolio. The Transferor, the Borrower and the Collateral Agent on behalf of the Secured Parties shall furnish the Servicer (and any successors thereto) with any powers of attorney and other documents necessary or appropriate to enable the Servicer to carry out its servicing and administrative duties hereunder, and shall cooperate with the Servicer to the fullest extent in order to ensure the collectability of the Collateral Portfolio. In no event shall the Servicer be entitled to make the Secured Parties, the Administrative Agent, the Backup Servicer, the Collateral Agent, any Lender or any Lender Agent a party to any litigation without such party’s express prior written consent, or to make the Borrower a party to any litigation (other than any routine foreclosure or similar collection procedure) without the Administrative Agent’s, the Backup Servicer’s and each Lender Agent’s consent.</w:t>
      </w:r>
    </w:p>
    <w:p>
      <w:pPr>
        <w:spacing w:after="0" w:line="67" w:lineRule="exact"/>
        <w:rPr>
          <w:sz w:val="20"/>
          <w:szCs w:val="20"/>
          <w:color w:val="auto"/>
        </w:rPr>
      </w:pPr>
    </w:p>
    <w:p>
      <w:pPr>
        <w:ind w:firstLine="989"/>
        <w:spacing w:after="0" w:line="253" w:lineRule="auto"/>
        <w:tabs>
          <w:tab w:leader="none" w:pos="12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After the declaration of the Final Maturity Date, at the direction of the Administrative Agent, the Servicer shall take such action as the Administrative Agent may deem necessary or advisable to enforce collection of the Collateral Portfolio;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at any time that an Event of Default has occurred, notify any Obligor with respect to any Collateral Portfolio of the assignment of such Collateral Portfolio to the Collateral Agent on behalf of the Secured Parties and direct that payments of all amounts due or to become due be made directly to the Administrative Agent or any servicer, collection agent or account designated by the Administrative Agent and, upon such notification and at the expense of the Borrower, the Administrative Agent may enforce collection of any such Collateral Portfolio, and adjust, settle or compromise the amount or payment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40"/>
          </w:cols>
          <w:pgMar w:left="460" w:top="273" w:right="499" w:bottom="1440" w:gutter="0" w:footer="0" w:header="0"/>
        </w:sectPr>
      </w:pPr>
    </w:p>
    <w:bookmarkStart w:id="206" w:name="page207"/>
    <w:bookmarkEnd w:id="206"/>
    <w:p>
      <w:pPr>
        <w:ind w:left="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6.04 </w:t>
      </w:r>
      <w:r>
        <w:rPr>
          <w:rFonts w:ascii="Arial" w:cs="Arial" w:eastAsia="Arial" w:hAnsi="Arial"/>
          <w:sz w:val="18"/>
          <w:szCs w:val="18"/>
          <w:u w:val="single" w:color="auto"/>
          <w:color w:val="auto"/>
        </w:rPr>
        <w:t>Collection of Payments; Accounts</w:t>
      </w:r>
      <w:r>
        <w:rPr>
          <w:rFonts w:ascii="Arial" w:cs="Arial" w:eastAsia="Arial" w:hAnsi="Arial"/>
          <w:sz w:val="18"/>
          <w:szCs w:val="18"/>
          <w:color w:val="auto"/>
        </w:rPr>
        <w:t>.</w:t>
      </w:r>
    </w:p>
    <w:p>
      <w:pPr>
        <w:spacing w:after="0" w:line="115" w:lineRule="exact"/>
        <w:rPr>
          <w:sz w:val="20"/>
          <w:szCs w:val="20"/>
          <w:color w:val="auto"/>
        </w:rPr>
      </w:pPr>
    </w:p>
    <w:p>
      <w:pPr>
        <w:ind w:left="-20" w:right="200" w:firstLine="989"/>
        <w:spacing w:after="0" w:line="255" w:lineRule="auto"/>
        <w:tabs>
          <w:tab w:leader="none" w:pos="121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Collection Efforts, Modification of Collateral Portfolio</w:t>
      </w:r>
      <w:r>
        <w:rPr>
          <w:rFonts w:ascii="Arial" w:cs="Arial" w:eastAsia="Arial" w:hAnsi="Arial"/>
          <w:sz w:val="18"/>
          <w:szCs w:val="18"/>
          <w:color w:val="auto"/>
        </w:rPr>
        <w:t>. The Servicer will use its reasonable best efforts to collect or cause to be collected, all payments called for under the terms and provisions of the Loan Assets included in the Collateral Portfolio as and when the same become due, all in accordance with the Credit and Collection Policy and the Servicing Standard. The Servicer may not waive, modify or otherwise vary any provision of an item of Collateral Portfolio in a manner that would impair the collectability of the Collateral Portfolio or in any manner contrary to the Servicing Standard.</w:t>
      </w:r>
    </w:p>
    <w:p>
      <w:pPr>
        <w:spacing w:after="0" w:line="82" w:lineRule="exact"/>
        <w:rPr>
          <w:rFonts w:ascii="Arial" w:cs="Arial" w:eastAsia="Arial" w:hAnsi="Arial"/>
          <w:sz w:val="18"/>
          <w:szCs w:val="18"/>
          <w:color w:val="auto"/>
        </w:rPr>
      </w:pPr>
    </w:p>
    <w:p>
      <w:pPr>
        <w:ind w:left="-20" w:right="240" w:firstLine="989"/>
        <w:spacing w:after="0" w:line="262" w:lineRule="auto"/>
        <w:tabs>
          <w:tab w:leader="none" w:pos="12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Acceleration</w:t>
      </w:r>
      <w:r>
        <w:rPr>
          <w:rFonts w:ascii="Arial" w:cs="Arial" w:eastAsia="Arial" w:hAnsi="Arial"/>
          <w:sz w:val="18"/>
          <w:szCs w:val="18"/>
          <w:color w:val="auto"/>
        </w:rPr>
        <w:t>. If consistent with the Credit and Collection Policy and the Servicing Standard, the Servicer shall accelerate or vote to accelerate, as applicable, the maturity of all or any Scheduled Payments and other amounts due under any Loan Asset promptly after such Loan Asset becomes defaulted.</w:t>
      </w:r>
    </w:p>
    <w:p>
      <w:pPr>
        <w:spacing w:after="0" w:line="74" w:lineRule="exact"/>
        <w:rPr>
          <w:rFonts w:ascii="Arial" w:cs="Arial" w:eastAsia="Arial" w:hAnsi="Arial"/>
          <w:sz w:val="18"/>
          <w:szCs w:val="18"/>
          <w:color w:val="auto"/>
        </w:rPr>
      </w:pPr>
    </w:p>
    <w:p>
      <w:pPr>
        <w:ind w:left="-20" w:right="600" w:firstLine="989"/>
        <w:spacing w:after="0" w:line="310" w:lineRule="auto"/>
        <w:tabs>
          <w:tab w:leader="none" w:pos="121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Taxes and other Amounts</w:t>
      </w:r>
      <w:r>
        <w:rPr>
          <w:rFonts w:ascii="Arial" w:cs="Arial" w:eastAsia="Arial" w:hAnsi="Arial"/>
          <w:sz w:val="16"/>
          <w:szCs w:val="16"/>
          <w:color w:val="auto"/>
        </w:rPr>
        <w:t>. The Servicer will use its best efforts to collect all payments with respect to amounts due for Taxes, assessments and insurance premiums relating to each Loan Asset to the extent required to be paid to the Borrower for such application under the applicable Loan Agreement and remit such amounts to the appropriate Governmental Authority or insurer as required by the Loan Agreements.</w:t>
      </w:r>
    </w:p>
    <w:p>
      <w:pPr>
        <w:spacing w:after="0" w:line="39" w:lineRule="exact"/>
        <w:rPr>
          <w:rFonts w:ascii="Arial" w:cs="Arial" w:eastAsia="Arial" w:hAnsi="Arial"/>
          <w:sz w:val="16"/>
          <w:szCs w:val="16"/>
          <w:color w:val="auto"/>
        </w:rPr>
      </w:pPr>
    </w:p>
    <w:p>
      <w:pPr>
        <w:ind w:left="-20" w:right="100" w:firstLine="989"/>
        <w:spacing w:after="0" w:line="258" w:lineRule="auto"/>
        <w:tabs>
          <w:tab w:leader="none" w:pos="12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Payments to Collection Account</w:t>
      </w:r>
      <w:r>
        <w:rPr>
          <w:rFonts w:ascii="Arial" w:cs="Arial" w:eastAsia="Arial" w:hAnsi="Arial"/>
          <w:sz w:val="18"/>
          <w:szCs w:val="18"/>
          <w:color w:val="auto"/>
        </w:rPr>
        <w:t xml:space="preserve">. On or before the applicable Cut-Off Date, the Servicer shall have instructed all Obligors to make all payments in respect of the Collateral Portfolio directly to the Collection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Servicer is not required to so instruct any Obligor which is solely a guarantor or other surety (or an Obligor that is not designated as the “</w:t>
      </w:r>
      <w:r>
        <w:rPr>
          <w:rFonts w:ascii="Arial" w:cs="Arial" w:eastAsia="Arial" w:hAnsi="Arial"/>
          <w:sz w:val="18"/>
          <w:szCs w:val="18"/>
          <w:u w:val="single" w:color="auto"/>
          <w:color w:val="auto"/>
        </w:rPr>
        <w:t>lead borrower</w:t>
      </w:r>
      <w:r>
        <w:rPr>
          <w:rFonts w:ascii="Arial" w:cs="Arial" w:eastAsia="Arial" w:hAnsi="Arial"/>
          <w:sz w:val="18"/>
          <w:szCs w:val="18"/>
          <w:color w:val="auto"/>
        </w:rPr>
        <w:t>” or another such similar term) unless and until the Servicer calls on the related guaranty or secondary obligation.</w:t>
      </w:r>
    </w:p>
    <w:p>
      <w:pPr>
        <w:spacing w:after="0" w:line="77" w:lineRule="exact"/>
        <w:rPr>
          <w:rFonts w:ascii="Arial" w:cs="Arial" w:eastAsia="Arial" w:hAnsi="Arial"/>
          <w:sz w:val="18"/>
          <w:szCs w:val="18"/>
          <w:color w:val="auto"/>
        </w:rPr>
      </w:pPr>
    </w:p>
    <w:p>
      <w:pPr>
        <w:ind w:left="-20" w:firstLine="989"/>
        <w:spacing w:after="0" w:line="266" w:lineRule="auto"/>
        <w:tabs>
          <w:tab w:leader="none" w:pos="121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Collection Account</w:t>
      </w:r>
      <w:r>
        <w:rPr>
          <w:rFonts w:ascii="Arial" w:cs="Arial" w:eastAsia="Arial" w:hAnsi="Arial"/>
          <w:sz w:val="17"/>
          <w:szCs w:val="17"/>
          <w:color w:val="auto"/>
        </w:rPr>
        <w:t xml:space="preserve">. Each of the parties hereto hereby agrees that (i) the Collection Account is intended to be a “securities account” or “deposit account” within the meaning of the UCC and (ii) except as otherwise expressly provided herein and in the Collection Account Agreement, prior to the delivery of a Notice of Exclusive Control, the Borrower shall be entitled to exercise the rights that comprise each Financial Asset held in the Collection Account and have the right to direct the disposition of funds in the Collection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delivery of a Notice of Exclusive Control, such rights shall be exclusively held by the Collateral Agent (acting at the direction of the Administrative Agent). Each of the parties hereto hereby agrees to cause the Account Bank (or other securities intermediary) that holds any money or other property for the Borrower in the Collection Account to agree with the parties hereto that (A) to the extent that the Collection Account is a “securities account” within the meaning of the UCC, the cash and other property (subject to </w:t>
      </w:r>
      <w:r>
        <w:rPr>
          <w:rFonts w:ascii="Arial" w:cs="Arial" w:eastAsia="Arial" w:hAnsi="Arial"/>
          <w:sz w:val="17"/>
          <w:szCs w:val="17"/>
          <w:u w:val="single" w:color="auto"/>
          <w:color w:val="auto"/>
        </w:rPr>
        <w:t>Section 6.04(f)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below with respect to any property other than investment property, as defined in Section 9-102(a)(49) of the UCC) credited thereto is to be treated as a Financial Asset under Article 8 of the UCC and (B) regardless of any provision in any other agreement, for purposes of the UCC, with respect to the Collection Account, New York shall be deemed to be the (i) Account Bank’s jurisdiction (within the meaning of Section 9-304 of the UCC) to the extent the Collection Account is a “deposit account” within the meaning of the UCC and (ii) Account Bank’s (or other securities intermediary’s) jurisdiction (within the meaning of Section 8-110 of the UCC) to the extent the Collection Account is a “securities account” within the meaning of the UCC. All securities or other property underlying any Financial Assets credited to the Collection Account in the form of securities or instruments shall be registered in the name of the Account Bank or if in the name of the Borrower or the Collateral Agent, Indorsed to the Account Bank, Indorsed in blank, or credited to another securities account maintained in the name of the Account Bank, and in no case will any Financial Asset credited to the Collection Account be registered in the name of the Borrower, payable to the order of the Borrower or specially Indorsed to the Borrower, except to the extent the foregoing have been specially Indorsed to the Account Bank or Indorsed in blank.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0940"/>
          </w:cols>
          <w:pgMar w:left="480" w:top="273" w:right="479" w:bottom="1440" w:gutter="0" w:footer="0" w:header="0"/>
        </w:sectPr>
      </w:pPr>
    </w:p>
    <w:bookmarkStart w:id="207" w:name="page208"/>
    <w:bookmarkEnd w:id="207"/>
    <w:p>
      <w:pPr>
        <w:ind w:left="-20" w:firstLine="989"/>
        <w:spacing w:after="0" w:line="284" w:lineRule="auto"/>
        <w:tabs>
          <w:tab w:leader="none" w:pos="119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URCA Account</w:t>
      </w:r>
      <w:r>
        <w:rPr>
          <w:rFonts w:ascii="Arial" w:cs="Arial" w:eastAsia="Arial" w:hAnsi="Arial"/>
          <w:sz w:val="16"/>
          <w:szCs w:val="16"/>
          <w:color w:val="auto"/>
        </w:rPr>
        <w:t xml:space="preserve">. Each of the parties hereto hereby agrees that (i) the URCA Account is intended to be a “securities account” or “deposit account” within the meaning of the UCC and (ii) except as otherwise expressly provided herein and in the URCA Account Agreement, prior to the delivery of a Notice of Exclusive Control, the Borrower shall be entitled to exercise the rights that comprise each Financial Asset held in the URCA Account and have the right to direct the disposition of funds in the URCA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delivery of a Notice of Exclusive Control, such rights shall be exclusively held by the Collateral Agent (acting at the direction of the Administrative Agent). Each of the parties hereto hereby agrees to cause the securities intermediary that holds any money or other property for the Borrower in the URCA Account to agree with the parties hereto that (A) to the extent that the URCA Account is a “securities account” within the meaning of the UCC, the cash and other property (subject to </w:t>
      </w:r>
      <w:r>
        <w:rPr>
          <w:rFonts w:ascii="Arial" w:cs="Arial" w:eastAsia="Arial" w:hAnsi="Arial"/>
          <w:sz w:val="16"/>
          <w:szCs w:val="16"/>
          <w:u w:val="single" w:color="auto"/>
          <w:color w:val="auto"/>
        </w:rPr>
        <w:t>Section 6.04(e)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with respect to any property other than investment property, as defined in Section 9-102(a)(49) of the UCC) credited thereto is to be treated as a Financial Asset under Article 8 of the UCC and (B) regardless of any provision in any other agreement, for purposes of the UCC, with respect to the URCA Account, New York shall be deemed to be the (i) Account Bank’s jurisdiction (within the meaning of Section 9-304 of the UCC) to the extent the Collection Account is a “deposit account” within the meaning of the UCC and (ii) Account Bank’s (or other securities intermediary’s) jurisdiction (within the meaning of Section 8-110 of the UCC) to the extent the Collection Account is a “securities account” within the meaning of the UCC. All securities or other property underlying any Financial Assets credited to the URCA Account in the form of securities or instruments shall be registered in the name of the Account Bank or if in the name of the Borrower or the Collateral Agent, Indorsed to the Account Bank, Indorsed in blank, or credited to another securities account maintained in the name of the Account Bank, and in no case will any Financial Asset credited to the URCA Account be registered in the name of the Borrower, payable to the order of the Borrower or specially Indorsed to the Borrower, except to the extent the foregoing have been specially Indorsed to the Account Bank or Indorsed in blank.</w:t>
      </w:r>
    </w:p>
    <w:p>
      <w:pPr>
        <w:spacing w:after="0" w:line="61" w:lineRule="exact"/>
        <w:rPr>
          <w:rFonts w:ascii="Arial" w:cs="Arial" w:eastAsia="Arial" w:hAnsi="Arial"/>
          <w:sz w:val="16"/>
          <w:szCs w:val="16"/>
          <w:color w:val="auto"/>
        </w:rPr>
      </w:pPr>
    </w:p>
    <w:p>
      <w:pPr>
        <w:ind w:left="1220" w:hanging="251"/>
        <w:spacing w:after="0"/>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20" w:firstLine="989"/>
        <w:spacing w:after="0" w:line="269" w:lineRule="auto"/>
        <w:tabs>
          <w:tab w:leader="none" w:pos="1220"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Loan Agreements</w:t>
      </w:r>
      <w:r>
        <w:rPr>
          <w:rFonts w:ascii="Arial" w:cs="Arial" w:eastAsia="Arial" w:hAnsi="Arial"/>
          <w:sz w:val="17"/>
          <w:szCs w:val="17"/>
          <w:color w:val="auto"/>
        </w:rPr>
        <w:t>. Notwithstanding any term hereof (or any term of the UCC that might otherwise be construed to be applicable to a “securities intermediary” as defined in the UCC) to the contrary, none of the Collateral Agent, the Collateral Custodian nor any securities intermediary shall be under any duty or obligation in connection with the acquisition by the Borrower, or the grant by the Borrower to the Collateral Agent, of any Loan Asset in the nature of a loan or a participation in a loan to examine or evaluate the sufficiency of the documents or instruments delivered to it by or on behalf of the Borrower under the related Loan Agreements, or otherwise to examine the Loan Agreements, in order to determine or compel compliance with any applicable requirements of or restrictions on transfer (including without limitation any necessary consents). The Collateral Custodian shall hold any Instrument delivered to it evidencing any Loan Asset granted to the Collateral Agent hereunder as custodial agent for the Collateral Agent in accordance with the terms of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20"/>
          </w:cols>
          <w:pgMar w:left="480" w:top="273" w:right="499" w:bottom="1440" w:gutter="0" w:footer="0" w:header="0"/>
        </w:sectPr>
      </w:pPr>
    </w:p>
    <w:bookmarkStart w:id="208" w:name="page209"/>
    <w:bookmarkEnd w:id="208"/>
    <w:p>
      <w:pPr>
        <w:ind w:right="120" w:firstLine="989"/>
        <w:spacing w:after="0" w:line="272" w:lineRule="auto"/>
        <w:tabs>
          <w:tab w:leader="none" w:pos="1201"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Adjustments</w:t>
      </w:r>
      <w:r>
        <w:rPr>
          <w:rFonts w:ascii="Arial" w:cs="Arial" w:eastAsia="Arial" w:hAnsi="Arial"/>
          <w:sz w:val="17"/>
          <w:szCs w:val="17"/>
          <w:color w:val="auto"/>
        </w:rPr>
        <w:t>. If (i) the Servicer makes a deposit into the Collection Account in respect of an Interest Collection or Principal Collection of a Loan Asset and such Interest Collection or Principal Collection was received by the Servicer in the form of a check that is not honored for any reason or (ii) the Servicer makes a mistake with respect to the amount of any Interest Collection or Principal Collection and deposits an amount that is less than or more than the actual amount of such Interest Collection or Principal Collection, the Servicer shall appropriately adjust the amount subsequently deposited into the Collection Account to reflect such dishonored check or mistake. Any Scheduled Payment in respect of which a dishonored check is received shall be deemed not to have been paid.</w:t>
      </w:r>
    </w:p>
    <w:p>
      <w:pPr>
        <w:spacing w:after="0" w:line="176"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Realization Upon Loan Assets</w:t>
      </w:r>
      <w:r>
        <w:rPr>
          <w:rFonts w:ascii="Arial" w:cs="Arial" w:eastAsia="Arial" w:hAnsi="Arial"/>
          <w:sz w:val="16"/>
          <w:szCs w:val="16"/>
          <w:color w:val="auto"/>
        </w:rPr>
        <w:t>. The Servicer will use reasonable efforts consistent with the Credit and Collection Policy and Servicing Standard to foreclose upon or repossess, as applicable, or otherwise comparably convert the ownership of any Underlying Collateral relating to a defaulted Loan Asset as to which no satisfactory arrangements can be made for collection of delinquent payments, and may, consistent with the Credit and Collection Policy and Servicing Standard and exercising its reasonably good faith judgment to maximize value, hold for value, sell or transfer any equity or other securities that it or the Borrower shall have received in connection with a default, workout, restructuring or plan of reorganization with respect to a Loan Asset. The Servicer will comply with the Credit and Collection Policy and the Servicing Standard and Applicable Law in realizing upon such Underlying Collateral, and employ practices and procedures including reasonable efforts consistent with the Credit and Collection Policy and the Servicing Standard to enforce all obligations of Obligors foreclosing upon, repossessing and causing the sale of such Underlying Collateral at public or private sale in circumstances other than those described in the preceding sentence. Without limiting the generality of the foregoing, unless the Administrative Agent has specifically given instruction to the contrary, the Servicer may cause the sale of any such Underlying Collateral to the Servicer or its Affiliates for a purchase price equal to the then fair value thereof, any such sale to be evidenced by a certificate of a Responsible Officer of the Servicer delivered to the Administrative Agent setting forth the Loan Asset, the Underlying Collateral, the sale price of the Underlying Collateral and certifying that such sale price is the fair value of such Underlying Collateral. In any case in which any such Underlying Collateral has suffered damage, the Servicer will have no obligation to expend funds in connection with any repair or toward the foreclosure or repossession of such Underlying Collateral unless it reasonably determines that such repair or foreclosure or repossession will increase the Recoveries by an amount greater than the amount of such expenses. The Servicer will remit to the Collection Account the Recoveries received in connection with the sale or disposition of Underlying Collateral relating to a defaulted Loan Asset.</w:t>
      </w:r>
    </w:p>
    <w:p>
      <w:pPr>
        <w:spacing w:after="0" w:line="386"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Servicing Compensation</w:t>
      </w:r>
      <w:r>
        <w:rPr>
          <w:rFonts w:ascii="Arial" w:cs="Arial" w:eastAsia="Arial" w:hAnsi="Arial"/>
          <w:sz w:val="18"/>
          <w:szCs w:val="18"/>
          <w:color w:val="auto"/>
        </w:rPr>
        <w:t xml:space="preserve">. As compensation for its activities hereunder and reimbursement for its expenses, the Servicer shall be entitled to be paid the Servicing Fees and reimbursed its reasonable out-of-pocket expenses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Servicer acknowledges and agrees that Subordinate Servicing Fees not paid under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on any Payment Date shall accrue and shall not constitute a default or basis to terminate the Servicer duties under this Article VI.</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0960"/>
          </w:cols>
          <w:pgMar w:left="460" w:top="273" w:right="479" w:bottom="1440" w:gutter="0" w:footer="0" w:header="0"/>
        </w:sectPr>
      </w:pPr>
    </w:p>
    <w:bookmarkStart w:id="209" w:name="page210"/>
    <w:bookmarkEnd w:id="209"/>
    <w:p>
      <w:pPr>
        <w:ind w:right="40" w:firstLine="987"/>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6.07 </w:t>
      </w:r>
      <w:r>
        <w:rPr>
          <w:rFonts w:ascii="Arial" w:cs="Arial" w:eastAsia="Arial" w:hAnsi="Arial"/>
          <w:sz w:val="17"/>
          <w:szCs w:val="17"/>
          <w:u w:val="single" w:color="auto"/>
          <w:color w:val="auto"/>
        </w:rPr>
        <w:t>Payment of Certain Expenses by Servicer</w:t>
      </w:r>
      <w:r>
        <w:rPr>
          <w:rFonts w:ascii="Arial" w:cs="Arial" w:eastAsia="Arial" w:hAnsi="Arial"/>
          <w:sz w:val="17"/>
          <w:szCs w:val="17"/>
          <w:color w:val="auto"/>
        </w:rPr>
        <w:t xml:space="preserve">. The Servicer will be required to pay all expenses incurred by it in connection with its activities under this Agreement, including fees and disbursements of its independent accountants, Taxes imposed on the Servicer, expenses incurred by the Servicer in connection with payments and reports pursuant to this Agreement, and all other fees and expenses not expressly stated under this Agreement for the account of the Borrower. The Servicer, on behalf of the Borrower, will be required to pay all reasonable fees and expenses owing to any bank or trust company in connection with the maintenance of the Collection Account and the URCA Account. The Servicer may be reimbursed for any reasonable out-of-pocket expenses incurred hereunder (including out-of-pocket expenses paid by the Servicer on behalf of the Borrower), subject to the availability of funds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funds are not so available on any Payment Date to reimburse such expenses incurred during the immediately ended Remittance Period, such reimbursement amount shall be deferred and payable on the next Payment Date on which funds are available therefor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Reports to the Administrative Agent; Account Statements; Servicing Information</w:t>
      </w:r>
      <w:r>
        <w:rPr>
          <w:rFonts w:ascii="Arial" w:cs="Arial" w:eastAsia="Arial" w:hAnsi="Arial"/>
          <w:sz w:val="18"/>
          <w:szCs w:val="18"/>
          <w:color w:val="auto"/>
        </w:rPr>
        <w:t>.</w:t>
      </w:r>
    </w:p>
    <w:p>
      <w:pPr>
        <w:spacing w:after="0" w:line="115" w:lineRule="exact"/>
        <w:rPr>
          <w:sz w:val="20"/>
          <w:szCs w:val="20"/>
          <w:color w:val="auto"/>
        </w:rPr>
      </w:pPr>
    </w:p>
    <w:p>
      <w:pPr>
        <w:ind w:right="20" w:firstLine="989"/>
        <w:spacing w:after="0" w:line="255" w:lineRule="auto"/>
        <w:tabs>
          <w:tab w:leader="none" w:pos="1230"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On or prior to each Advance Date and on each reduction of Advances Outstanding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the Borrower (and the Servicer on its behalf) will provide a Notice of Borrowing or a Notice of Reduction, as applicable, and a Borrowing Base Certificate updated as of such date (in the case of a Notice of Borrowing), to the Administrative Agent and each Lender Agent (with a copy to the Collateral Agent). On each date the Assigned Value for any Loan Asset is modified, the Borrower (or the Servicer on its behalf) will deliver an updated Borrowing Base Certificate to the Administrative Agent and each Lender Agent.</w:t>
      </w:r>
    </w:p>
    <w:p>
      <w:pPr>
        <w:spacing w:after="0" w:line="82" w:lineRule="exact"/>
        <w:rPr>
          <w:rFonts w:ascii="Arial" w:cs="Arial" w:eastAsia="Arial" w:hAnsi="Arial"/>
          <w:sz w:val="18"/>
          <w:szCs w:val="18"/>
          <w:color w:val="auto"/>
        </w:rPr>
      </w:pPr>
    </w:p>
    <w:p>
      <w:pPr>
        <w:ind w:firstLine="989"/>
        <w:spacing w:after="0" w:line="269" w:lineRule="auto"/>
        <w:tabs>
          <w:tab w:leader="none" w:pos="1240"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Servicing Report</w:t>
      </w:r>
      <w:r>
        <w:rPr>
          <w:rFonts w:ascii="Arial" w:cs="Arial" w:eastAsia="Arial" w:hAnsi="Arial"/>
          <w:sz w:val="17"/>
          <w:szCs w:val="17"/>
          <w:color w:val="auto"/>
        </w:rPr>
        <w:t xml:space="preserve">. (i) On each Reporting Date, the Servicer will provide to the Borrower, each Lender Agent, the Administrative Agent, the Collateral Agent, the Backup Servicer and any Liquidity Bank, a monthly statement including (x) a Borrowing Base Certificate calculated as of the most recent Determination Date (which shall include a determination of whether a Foreign Currency Exposure exists), and (y) a summary prepared with respect to each Obligor and with respect to each Loan Asset for such Obligor prepared as of the most recent Determination Date that will be required to set forth only (A) calculations of the Financial Covenants, the Charge-Off Ratio and the Delinquency Ratio as of such Reporting Date, (B) whether or not each such Loan Asset shall have become subject to an amendment, restatement, supplement, waiver or other modification and whether such amendment, restatement, supplement, waiver or other modification is a Material Modification signed by a Responsible Officer of the Servicer and the Borrower and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(such monthly statement, a “</w:t>
      </w:r>
      <w:r>
        <w:rPr>
          <w:rFonts w:ascii="Arial" w:cs="Arial" w:eastAsia="Arial" w:hAnsi="Arial"/>
          <w:sz w:val="17"/>
          <w:szCs w:val="17"/>
          <w:u w:val="single" w:color="auto"/>
          <w:color w:val="auto"/>
        </w:rPr>
        <w:t>Servicing Report</w:t>
      </w:r>
      <w:r>
        <w:rPr>
          <w:rFonts w:ascii="Arial" w:cs="Arial" w:eastAsia="Arial" w:hAnsi="Arial"/>
          <w:sz w:val="17"/>
          <w:szCs w:val="17"/>
          <w:color w:val="auto"/>
        </w:rPr>
        <w:t>”) and (C) if applicable, whether or not such Loan Asset has a priority working capital facility senior to such Loan Asset.</w:t>
      </w:r>
    </w:p>
    <w:p>
      <w:pPr>
        <w:spacing w:after="0" w:line="70" w:lineRule="exact"/>
        <w:rPr>
          <w:rFonts w:ascii="Arial" w:cs="Arial" w:eastAsia="Arial" w:hAnsi="Arial"/>
          <w:sz w:val="17"/>
          <w:szCs w:val="17"/>
          <w:color w:val="auto"/>
        </w:rPr>
      </w:pPr>
    </w:p>
    <w:p>
      <w:pPr>
        <w:jc w:val="both"/>
        <w:ind w:left="440" w:right="20" w:firstLine="421"/>
        <w:spacing w:after="0" w:line="284" w:lineRule="auto"/>
        <w:tabs>
          <w:tab w:leader="none" w:pos="112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On each Reporting Date that includes a Payment Date in the same month, in addition to the information provided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the Servicer will include in the Servicing Report the amounts to be remitted pursuant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to the applicable parties (which shall include any applicable wiring instructions of the parties receiving payment) with respect to the related Payment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940"/>
          </w:cols>
          <w:pgMar w:left="460" w:top="273" w:right="499" w:bottom="1440" w:gutter="0" w:footer="0" w:header="0"/>
        </w:sectPr>
      </w:pPr>
    </w:p>
    <w:bookmarkStart w:id="210" w:name="page211"/>
    <w:bookmarkEnd w:id="210"/>
    <w:p>
      <w:pPr>
        <w:jc w:val="both"/>
        <w:ind w:left="-20" w:firstLine="989"/>
        <w:spacing w:after="0" w:line="277" w:lineRule="auto"/>
        <w:tabs>
          <w:tab w:leader="none" w:pos="1210"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Servicer’s Certificate</w:t>
      </w:r>
      <w:r>
        <w:rPr>
          <w:rFonts w:ascii="Arial" w:cs="Arial" w:eastAsia="Arial" w:hAnsi="Arial"/>
          <w:sz w:val="17"/>
          <w:szCs w:val="17"/>
          <w:color w:val="auto"/>
        </w:rPr>
        <w:t xml:space="preserve">. Together with each Servicing Report, the Servicer shall submit to the Administrative Agent, each Lender Agent, the Collateral Agent, the Backup Servicer and any Liquidity Bank a certificate substantially in the form of </w:t>
      </w:r>
      <w:r>
        <w:rPr>
          <w:rFonts w:ascii="Arial" w:cs="Arial" w:eastAsia="Arial" w:hAnsi="Arial"/>
          <w:sz w:val="17"/>
          <w:szCs w:val="17"/>
          <w:u w:val="single" w:color="auto"/>
          <w:color w:val="auto"/>
        </w:rPr>
        <w:t>Exhibit L</w:t>
      </w:r>
      <w:r>
        <w:rPr>
          <w:rFonts w:ascii="Arial" w:cs="Arial" w:eastAsia="Arial" w:hAnsi="Arial"/>
          <w:sz w:val="17"/>
          <w:szCs w:val="17"/>
          <w:color w:val="auto"/>
        </w:rPr>
        <w:t xml:space="preserve"> (a “Servicer’s Certificate”), signed by a Responsible Officer of the Servicer, which shall include a certification by such Responsible Officer that no Event of Default or Unmatured Event of Default has occurred (or describing in detail any such Event of Default or Unmatured Event of Default).</w:t>
      </w:r>
    </w:p>
    <w:p>
      <w:pPr>
        <w:spacing w:after="0" w:line="65" w:lineRule="exact"/>
        <w:rPr>
          <w:rFonts w:ascii="Arial" w:cs="Arial" w:eastAsia="Arial" w:hAnsi="Arial"/>
          <w:sz w:val="17"/>
          <w:szCs w:val="17"/>
          <w:color w:val="auto"/>
        </w:rPr>
      </w:pPr>
    </w:p>
    <w:p>
      <w:pPr>
        <w:ind w:left="-20" w:right="60" w:firstLine="989"/>
        <w:spacing w:after="0" w:line="288" w:lineRule="auto"/>
        <w:tabs>
          <w:tab w:leader="none" w:pos="122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The Servicer will submit to the Administrative Agent, each Lender Agent, any Liquidity Bank, the Backup Servicer and the Collateral Agent, (i) within 45 days after the end of each of its first three fiscal quarters (excluding the fiscal quarter ending on the date specified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commencing September 30, 2011, consolidated unaudited financial statements of the Servicer for the most recent fiscal quarter, and (ii) within 90 days after the end of each fiscal year, commencing with the fiscal year ended December 31, 2011, consolidated audited financial statements of the Servicer, audited by a firm of nationally recognized independent public accountants, as of the end of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information required to be delivered pursuant to this paragraph (d) shall be deemed to have been delivered if such information shall be available on the website of the Securities and Exchange Commission at http://www.sec.gov (or successor website) (and a confirming electronic correspondence is delivered or caused to be delivered by the Servicer to the Administrative Agent providing notice of such availability).</w:t>
      </w:r>
    </w:p>
    <w:p>
      <w:pPr>
        <w:spacing w:after="0" w:line="61" w:lineRule="exact"/>
        <w:rPr>
          <w:rFonts w:ascii="Arial" w:cs="Arial" w:eastAsia="Arial" w:hAnsi="Arial"/>
          <w:sz w:val="16"/>
          <w:szCs w:val="16"/>
          <w:color w:val="auto"/>
        </w:rPr>
      </w:pPr>
    </w:p>
    <w:p>
      <w:pPr>
        <w:jc w:val="both"/>
        <w:ind w:left="-20" w:right="140" w:firstLine="989"/>
        <w:spacing w:after="0" w:line="262" w:lineRule="auto"/>
        <w:tabs>
          <w:tab w:leader="none" w:pos="121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Tax Returns</w:t>
      </w:r>
      <w:r>
        <w:rPr>
          <w:rFonts w:ascii="Arial" w:cs="Arial" w:eastAsia="Arial" w:hAnsi="Arial"/>
          <w:sz w:val="18"/>
          <w:szCs w:val="18"/>
          <w:color w:val="auto"/>
        </w:rPr>
        <w:t>. Upon demand by the Administrative Agent, each Lender Agent or any Liquidity Bank, the Servicer shall deliver, copies of all federal, state and local tax returns and reports filed by the Borrower, or in which the Borrower was included on a consolidated or combined basis (excluding sales, use and similar Taxes).</w:t>
      </w:r>
    </w:p>
    <w:p>
      <w:pPr>
        <w:spacing w:after="0" w:line="74" w:lineRule="exact"/>
        <w:rPr>
          <w:rFonts w:ascii="Arial" w:cs="Arial" w:eastAsia="Arial" w:hAnsi="Arial"/>
          <w:sz w:val="18"/>
          <w:szCs w:val="18"/>
          <w:color w:val="auto"/>
        </w:rPr>
      </w:pPr>
    </w:p>
    <w:p>
      <w:pPr>
        <w:ind w:left="-20" w:firstLine="989"/>
        <w:spacing w:after="0" w:line="285" w:lineRule="auto"/>
        <w:tabs>
          <w:tab w:leader="none" w:pos="1190"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Obligor Financial Statements; Valuation Reports; Other Reports</w:t>
      </w:r>
      <w:r>
        <w:rPr>
          <w:rFonts w:ascii="Arial" w:cs="Arial" w:eastAsia="Arial" w:hAnsi="Arial"/>
          <w:sz w:val="16"/>
          <w:szCs w:val="16"/>
          <w:color w:val="auto"/>
        </w:rPr>
        <w:t>. The Servicer will deliver to the Administrative Agent, the Lender Agents, the Backup Servicer and the Collateral Agent, with respect to each Obligor, (i) prior to making an Advance with respect thereto, three years’ historical audited or unaudited financial statements and related information, (ii) to the extent received by the Borrower or the Servicer pursuant to the Loan Agreement, the complete financial reporting package with respect to such Obligor and with respect to each Loan Asset for such Obligor provided to the Borrower or the Servicer either monthly or quarterly, as the case may be, by such Obligor, which delivery shall be made within 45 days of the end of each quarter end (or such longer period provided therein with respect to the end of an Obligor’s fiscal quarter or fiscal year), which reporting package shall include any covenant compliance certificates under the related Loan Agreement, (iii) asset and portfolio level monitoring reports prepared by the Servicer with respect to the Loan Assets, which delivery shall be made within 45 days of the end of each quarter end (or such longer period provided therein with respect to the end of an Obligor’s fiscal quarter or fiscal year) which would include, at a minimum, EBITDA for each Obligor and covenant and financial covenant testing as required hereunder, and (iv) the due dates and dates of collection of each Loan Asset within 15 days of the end of each calendar month. The Servicer will promptly deliver to the Administrative Agent, the Backup Servicer and any Lender Agent, upon reasonable request and to the extent received by the Borrower or the Servicer, all other documents and information required to be delivered by the Obligors to the Borrower with respect to any Loan Asset included in the Collateral Portfolio.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920"/>
          </w:cols>
          <w:pgMar w:left="480" w:top="273" w:right="499" w:bottom="1440" w:gutter="0" w:footer="0" w:header="0"/>
        </w:sectPr>
      </w:pPr>
    </w:p>
    <w:bookmarkStart w:id="211" w:name="page212"/>
    <w:bookmarkEnd w:id="211"/>
    <w:p>
      <w:pPr>
        <w:ind w:firstLine="989"/>
        <w:spacing w:after="0" w:line="272" w:lineRule="auto"/>
        <w:tabs>
          <w:tab w:leader="none" w:pos="1240"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Amendments to Loan Assets</w:t>
      </w:r>
      <w:r>
        <w:rPr>
          <w:rFonts w:ascii="Arial" w:cs="Arial" w:eastAsia="Arial" w:hAnsi="Arial"/>
          <w:sz w:val="17"/>
          <w:szCs w:val="17"/>
          <w:color w:val="auto"/>
        </w:rPr>
        <w:t>. The Servicer will deliver to the Administrative Agent, the Lender Agents, the Backup Servicer and the Collateral Custodian a copy of any amendment, restatement, supplement, waiver or other modification to the Loan Agreement of any Loan Asset (along with any internal documents prepared by the Servicer and provided to its investment committee in connection with such amendment, restatement, supplement, waiver or other modification) (i) with respect to any Material Modification, promptly and in any event within 10 Business Days of request of the Administrative Agent thereof and (ii) with respect to any amendment, restatement, supplement, waiver or other modification which is not a Material Modification, within 45 days after the end of each quarter end.</w:t>
      </w:r>
    </w:p>
    <w:p>
      <w:pPr>
        <w:spacing w:after="0" w:line="68" w:lineRule="exact"/>
        <w:rPr>
          <w:rFonts w:ascii="Arial" w:cs="Arial" w:eastAsia="Arial" w:hAnsi="Arial"/>
          <w:sz w:val="17"/>
          <w:szCs w:val="17"/>
          <w:color w:val="auto"/>
        </w:rPr>
      </w:pPr>
    </w:p>
    <w:p>
      <w:pPr>
        <w:ind w:right="300" w:firstLine="989"/>
        <w:spacing w:after="0" w:line="310" w:lineRule="auto"/>
        <w:tabs>
          <w:tab w:leader="none" w:pos="124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Website Access to Information</w:t>
      </w:r>
      <w:r>
        <w:rPr>
          <w:rFonts w:ascii="Arial" w:cs="Arial" w:eastAsia="Arial" w:hAnsi="Arial"/>
          <w:sz w:val="16"/>
          <w:szCs w:val="16"/>
          <w:color w:val="auto"/>
        </w:rPr>
        <w:t xml:space="preserve">. Notwithstanding anything to the contrary contained herein, information required to be delivered or submitted to any Secured Party pursuant to </w:t>
      </w:r>
      <w:r>
        <w:rPr>
          <w:rFonts w:ascii="Arial" w:cs="Arial" w:eastAsia="Arial" w:hAnsi="Arial"/>
          <w:sz w:val="16"/>
          <w:szCs w:val="16"/>
          <w:u w:val="single" w:color="auto"/>
          <w:color w:val="auto"/>
        </w:rPr>
        <w:t>Section 5.02(i)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shall be deemed to have been delivered on the date upon which such information is received through e-mail (with confirmation of receipt) or another delivery method acceptable to the Administrative Agent.</w:t>
      </w:r>
    </w:p>
    <w:p>
      <w:pPr>
        <w:spacing w:after="0" w:line="39" w:lineRule="exact"/>
        <w:rPr>
          <w:rFonts w:ascii="Arial" w:cs="Arial" w:eastAsia="Arial" w:hAnsi="Arial"/>
          <w:sz w:val="16"/>
          <w:szCs w:val="16"/>
          <w:color w:val="auto"/>
        </w:rPr>
      </w:pPr>
    </w:p>
    <w:p>
      <w:pPr>
        <w:ind w:right="20" w:firstLine="989"/>
        <w:spacing w:after="0" w:line="262" w:lineRule="auto"/>
        <w:tabs>
          <w:tab w:leader="none" w:pos="1201"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Required Asset Coverage Ratio</w:t>
      </w:r>
      <w:r>
        <w:rPr>
          <w:rFonts w:ascii="Arial" w:cs="Arial" w:eastAsia="Arial" w:hAnsi="Arial"/>
          <w:sz w:val="18"/>
          <w:szCs w:val="18"/>
          <w:color w:val="auto"/>
        </w:rPr>
        <w:t xml:space="preserve">. On or prior to the RAC Reporting Date with respect to the immediately prior fiscal quarter, the Servicer shall deliver to the Administrative Agent written certificate that demonstrates Solar Capital’s compliance or non-compliance with the Required Asset Coverage Ratio substantially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w:t>
      </w:r>
    </w:p>
    <w:p>
      <w:pPr>
        <w:spacing w:after="0" w:line="75" w:lineRule="exact"/>
        <w:rPr>
          <w:sz w:val="20"/>
          <w:szCs w:val="20"/>
          <w:color w:val="auto"/>
        </w:rPr>
      </w:pPr>
    </w:p>
    <w:p>
      <w:pPr>
        <w:ind w:right="80" w:firstLine="987"/>
        <w:spacing w:after="0" w:line="272"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Annual Statement as to Compliance</w:t>
      </w:r>
      <w:r>
        <w:rPr>
          <w:rFonts w:ascii="Arial" w:cs="Arial" w:eastAsia="Arial" w:hAnsi="Arial"/>
          <w:sz w:val="17"/>
          <w:szCs w:val="17"/>
          <w:color w:val="auto"/>
        </w:rPr>
        <w:t>. The Servicer will provide to the Administrative Agent, each Lender Agent, the Backup Servicer and the Collateral Agent within 90 days following the end of each fiscal year of the Servicer, commencing with the fiscal year ending on December 31, 2011, a fiscal report signed by a Responsible Officer of the Servicer certifying that (a) a review of the activities of the Servicer, and the Servicer’s performance pursuant to this Agreement, for the fiscal period ending on the last day of such fiscal year has been made under such Person’s supervision and (b) the Servicer has performed or has caused to be performed in all material respects all of its obligations under this Agreement throughout such year and no Servicer Replacement Event has occurred.</w:t>
      </w:r>
    </w:p>
    <w:p>
      <w:pPr>
        <w:spacing w:after="0" w:line="68" w:lineRule="exact"/>
        <w:rPr>
          <w:sz w:val="20"/>
          <w:szCs w:val="20"/>
          <w:color w:val="auto"/>
        </w:rPr>
      </w:pPr>
    </w:p>
    <w:p>
      <w:pPr>
        <w:ind w:right="120" w:firstLine="987"/>
        <w:spacing w:after="0" w:line="272"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The Servicer Not to Resign</w:t>
      </w:r>
      <w:r>
        <w:rPr>
          <w:rFonts w:ascii="Arial" w:cs="Arial" w:eastAsia="Arial" w:hAnsi="Arial"/>
          <w:sz w:val="17"/>
          <w:szCs w:val="17"/>
          <w:color w:val="auto"/>
        </w:rPr>
        <w:t xml:space="preserve">. The Servicer shall not resign from the obligations and duties hereby imposed on it except upon the Servicer’s determination that (i) the performance of its duties hereunder is or becomes impermissible under Applicable Law and (ii) there is no reasonable action that the Servicer could take to make the performance of its duties hereunder permissible under Applicable Law. Any such determination permitting the resignation of the Servicer shall be evidenced as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by an Opinion of Counsel to such effect delivered to the Administrative Agent and each Lender Agent. No such resignation shall become effective until a Replacement Servicer shall have assumed the responsibilities and obligations of the Servicer in accordance with </w:t>
      </w:r>
      <w:r>
        <w:rPr>
          <w:rFonts w:ascii="Arial" w:cs="Arial" w:eastAsia="Arial" w:hAnsi="Arial"/>
          <w:sz w:val="17"/>
          <w:szCs w:val="17"/>
          <w:u w:val="single" w:color="auto"/>
          <w:color w:val="auto"/>
        </w:rPr>
        <w:t>Section 6.02</w:t>
      </w:r>
      <w:r>
        <w:rPr>
          <w:rFonts w:ascii="Arial" w:cs="Arial" w:eastAsia="Arial" w:hAnsi="Arial"/>
          <w:sz w:val="17"/>
          <w:szCs w:val="17"/>
          <w:color w:val="auto"/>
        </w:rPr>
        <w:t>.</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900"/>
          </w:cols>
          <w:pgMar w:left="460" w:top="273" w:right="5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ARTICLE VII</w:t>
      </w:r>
    </w:p>
    <w:p>
      <w:pPr>
        <w:spacing w:after="0" w:line="223"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THE BACKUP SERVICER</w:t>
      </w:r>
    </w:p>
    <w:p>
      <w:pPr>
        <w:spacing w:after="0" w:line="2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Designation of the Backup Servicer</w:t>
      </w:r>
      <w:r>
        <w:rPr>
          <w:rFonts w:ascii="Arial" w:cs="Arial" w:eastAsia="Arial" w:hAnsi="Arial"/>
          <w:sz w:val="18"/>
          <w:szCs w:val="18"/>
          <w:color w:val="auto"/>
        </w:rPr>
        <w:t>.</w:t>
      </w:r>
    </w:p>
    <w:p>
      <w:pPr>
        <w:spacing w:after="0" w:line="115" w:lineRule="exact"/>
        <w:rPr>
          <w:sz w:val="20"/>
          <w:szCs w:val="20"/>
          <w:color w:val="auto"/>
        </w:rPr>
      </w:pPr>
    </w:p>
    <w:p>
      <w:pPr>
        <w:ind w:firstLine="989"/>
        <w:spacing w:after="0" w:line="258" w:lineRule="auto"/>
        <w:tabs>
          <w:tab w:leader="none" w:pos="123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Initial Backup Servicer</w:t>
      </w:r>
      <w:r>
        <w:rPr>
          <w:rFonts w:ascii="Arial" w:cs="Arial" w:eastAsia="Arial" w:hAnsi="Arial"/>
          <w:sz w:val="18"/>
          <w:szCs w:val="18"/>
          <w:color w:val="auto"/>
        </w:rPr>
        <w:t xml:space="preserve">. The backup servicing role with respect to the Collateral shall be conducted by the Person designated as Backup Servicer hereunder from time to time in accordance with this </w:t>
      </w:r>
      <w:r>
        <w:rPr>
          <w:rFonts w:ascii="Arial" w:cs="Arial" w:eastAsia="Arial" w:hAnsi="Arial"/>
          <w:sz w:val="18"/>
          <w:szCs w:val="18"/>
          <w:u w:val="single" w:color="auto"/>
          <w:color w:val="auto"/>
        </w:rPr>
        <w:t>Section 7.01</w:t>
      </w:r>
      <w:r>
        <w:rPr>
          <w:rFonts w:ascii="Arial" w:cs="Arial" w:eastAsia="Arial" w:hAnsi="Arial"/>
          <w:sz w:val="18"/>
          <w:szCs w:val="18"/>
          <w:color w:val="auto"/>
        </w:rPr>
        <w:t>. Until the Administrative Agent shall give to Wells Fargo Bank, N.A. a Backup Servicer Termination Notice, Wells Fargo Bank, N.A. is hereby designated as, and hereby agrees to perform the duties and obligations of, a Backup Servicer pursuant to the terms hereof.</w:t>
      </w:r>
    </w:p>
    <w:p>
      <w:pPr>
        <w:spacing w:after="0" w:line="77" w:lineRule="exact"/>
        <w:rPr>
          <w:rFonts w:ascii="Arial" w:cs="Arial" w:eastAsia="Arial" w:hAnsi="Arial"/>
          <w:sz w:val="18"/>
          <w:szCs w:val="18"/>
          <w:color w:val="auto"/>
        </w:rPr>
      </w:pPr>
    </w:p>
    <w:p>
      <w:pPr>
        <w:ind w:firstLine="989"/>
        <w:spacing w:after="0" w:line="262" w:lineRule="auto"/>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Successor Backup Servicer</w:t>
      </w:r>
      <w:r>
        <w:rPr>
          <w:rFonts w:ascii="Arial" w:cs="Arial" w:eastAsia="Arial" w:hAnsi="Arial"/>
          <w:sz w:val="18"/>
          <w:szCs w:val="18"/>
          <w:color w:val="auto"/>
        </w:rPr>
        <w:t xml:space="preserve">. Upon the Backup Servicer’s receipt of Backup Servicer Termination Notice from the Administrative Agent of the designation of a replacement Backup Servicer pursuant to the provisions of </w:t>
      </w:r>
      <w:r>
        <w:rPr>
          <w:rFonts w:ascii="Arial" w:cs="Arial" w:eastAsia="Arial" w:hAnsi="Arial"/>
          <w:sz w:val="18"/>
          <w:szCs w:val="18"/>
          <w:u w:val="single" w:color="auto"/>
          <w:color w:val="auto"/>
        </w:rPr>
        <w:t>Section 7.05</w:t>
      </w:r>
      <w:r>
        <w:rPr>
          <w:rFonts w:ascii="Arial" w:cs="Arial" w:eastAsia="Arial" w:hAnsi="Arial"/>
          <w:sz w:val="18"/>
          <w:szCs w:val="18"/>
          <w:color w:val="auto"/>
        </w:rPr>
        <w:t>, the Backup Servicer agrees that it will terminate its activities as Backup Servicer hereunder.</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Duties of the Backup Servicer</w:t>
      </w:r>
      <w:r>
        <w:rPr>
          <w:rFonts w:ascii="Arial" w:cs="Arial" w:eastAsia="Arial" w:hAnsi="Arial"/>
          <w:sz w:val="18"/>
          <w:szCs w:val="18"/>
          <w:color w:val="auto"/>
        </w:rPr>
        <w:t>.</w:t>
      </w:r>
    </w:p>
    <w:p>
      <w:pPr>
        <w:spacing w:after="0" w:line="115" w:lineRule="exact"/>
        <w:rPr>
          <w:sz w:val="20"/>
          <w:szCs w:val="20"/>
          <w:color w:val="auto"/>
        </w:rPr>
      </w:pPr>
    </w:p>
    <w:p>
      <w:pPr>
        <w:ind w:right="200" w:firstLine="989"/>
        <w:spacing w:after="0" w:line="258" w:lineRule="auto"/>
        <w:tabs>
          <w:tab w:leader="none" w:pos="123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The Borrower and the Administrative Agent, as agent for the Secured Parties, each hereby appoints Wells Fargo Bank, N.A. to act as Backup Servicer, for the benefit of the Administrative Agent and the Secured Parties, as from time to time designated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The Backup Servicer hereby accepts such appointment and agrees to perform the duties and obligations with respect thereto set forth herein.</w:t>
      </w:r>
    </w:p>
    <w:p>
      <w:pPr>
        <w:spacing w:after="0" w:line="77" w:lineRule="exact"/>
        <w:rPr>
          <w:rFonts w:ascii="Arial" w:cs="Arial" w:eastAsia="Arial" w:hAnsi="Arial"/>
          <w:sz w:val="18"/>
          <w:szCs w:val="18"/>
          <w:color w:val="auto"/>
        </w:rPr>
      </w:pPr>
    </w:p>
    <w:p>
      <w:pPr>
        <w:ind w:right="160" w:firstLine="989"/>
        <w:spacing w:after="0" w:line="275" w:lineRule="auto"/>
        <w:tabs>
          <w:tab w:leader="none" w:pos="1240"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On or before the Initial Advance, and until its removal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the Backup Servicer shall perform, on behalf of the Administrative Agent and the Secured Parties, the following duties and obligations:</w:t>
      </w:r>
    </w:p>
    <w:p>
      <w:pPr>
        <w:spacing w:after="0" w:line="63" w:lineRule="exact"/>
        <w:rPr>
          <w:rFonts w:ascii="Arial" w:cs="Arial" w:eastAsia="Arial" w:hAnsi="Arial"/>
          <w:sz w:val="18"/>
          <w:szCs w:val="18"/>
          <w:color w:val="auto"/>
        </w:rPr>
      </w:pPr>
    </w:p>
    <w:p>
      <w:pPr>
        <w:jc w:val="both"/>
        <w:ind w:left="440" w:right="140" w:firstLine="421"/>
        <w:spacing w:after="0" w:line="262" w:lineRule="auto"/>
        <w:tabs>
          <w:tab w:leader="none" w:pos="107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On or before the Closing Date, the Backup Servicer shall accept from the Servicer delivery of the information required to be set forth in the Servicing Report referred to in </w:t>
      </w:r>
      <w:r>
        <w:rPr>
          <w:rFonts w:ascii="Arial" w:cs="Arial" w:eastAsia="Arial" w:hAnsi="Arial"/>
          <w:sz w:val="18"/>
          <w:szCs w:val="18"/>
          <w:u w:val="single" w:color="auto"/>
          <w:color w:val="auto"/>
        </w:rPr>
        <w:t>Section 6.08(b)(i)</w:t>
      </w:r>
      <w:r>
        <w:rPr>
          <w:rFonts w:ascii="Arial" w:cs="Arial" w:eastAsia="Arial" w:hAnsi="Arial"/>
          <w:sz w:val="18"/>
          <w:szCs w:val="18"/>
          <w:color w:val="auto"/>
        </w:rPr>
        <w:t xml:space="preserve"> of this Agreement (if any) on an excel spreadsheet or other format to be agreed upon by the Backup Servicer and the Servicer on or prior to closing.</w:t>
      </w:r>
    </w:p>
    <w:p>
      <w:pPr>
        <w:spacing w:after="0" w:line="74" w:lineRule="exact"/>
        <w:rPr>
          <w:rFonts w:ascii="Arial" w:cs="Arial" w:eastAsia="Arial" w:hAnsi="Arial"/>
          <w:sz w:val="18"/>
          <w:szCs w:val="18"/>
          <w:color w:val="auto"/>
        </w:rPr>
      </w:pPr>
    </w:p>
    <w:p>
      <w:pPr>
        <w:ind w:left="440" w:right="20" w:firstLine="421"/>
        <w:spacing w:after="0" w:line="255" w:lineRule="auto"/>
        <w:tabs>
          <w:tab w:leader="none" w:pos="112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 later than 12:00 noon (New York City, New York time) on each Reporting Date, the Servicer shall deliver to the Backup Servicer the loan asset spreadsheet, which shall include but not be limited to the following information: (x) for each Loan Asset, the name of the related Obligor, the collection status, the loan status, the date of each Scheduled Payment, the Outstanding Principal Balance, the initial Assigned Value, and the Outstanding Loan Balance, (y) the Borrowing Base and (z) the Aggregate Outstanding Loan Balance (the “</w:t>
      </w:r>
      <w:r>
        <w:rPr>
          <w:rFonts w:ascii="Arial" w:cs="Arial" w:eastAsia="Arial" w:hAnsi="Arial"/>
          <w:sz w:val="18"/>
          <w:szCs w:val="18"/>
          <w:u w:val="single" w:color="auto"/>
          <w:color w:val="auto"/>
        </w:rPr>
        <w:t>Spreadsheet</w:t>
      </w:r>
      <w:r>
        <w:rPr>
          <w:rFonts w:ascii="Arial" w:cs="Arial" w:eastAsia="Arial" w:hAnsi="Arial"/>
          <w:sz w:val="18"/>
          <w:szCs w:val="18"/>
          <w:color w:val="auto"/>
        </w:rPr>
        <w:t>”). The Backup Servicer shall accept delivery of the Spreadsheet.</w:t>
      </w:r>
    </w:p>
    <w:p>
      <w:pPr>
        <w:spacing w:after="0" w:line="82" w:lineRule="exact"/>
        <w:rPr>
          <w:rFonts w:ascii="Arial" w:cs="Arial" w:eastAsia="Arial" w:hAnsi="Arial"/>
          <w:sz w:val="18"/>
          <w:szCs w:val="18"/>
          <w:color w:val="auto"/>
        </w:rPr>
      </w:pPr>
    </w:p>
    <w:p>
      <w:pPr>
        <w:ind w:left="440" w:right="40" w:firstLine="421"/>
        <w:spacing w:after="0" w:line="292" w:lineRule="auto"/>
        <w:tabs>
          <w:tab w:leader="none" w:pos="1174"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receives the Servicing Report and the loan data pursuant to </w:t>
      </w:r>
      <w:r>
        <w:rPr>
          <w:rFonts w:ascii="Arial" w:cs="Arial" w:eastAsia="Arial" w:hAnsi="Arial"/>
          <w:sz w:val="16"/>
          <w:szCs w:val="16"/>
          <w:u w:val="single" w:color="auto"/>
          <w:color w:val="auto"/>
        </w:rPr>
        <w:t>Section 6.08(b)</w:t>
      </w:r>
      <w:r>
        <w:rPr>
          <w:rFonts w:ascii="Arial" w:cs="Arial" w:eastAsia="Arial" w:hAnsi="Arial"/>
          <w:sz w:val="16"/>
          <w:szCs w:val="16"/>
          <w:color w:val="auto"/>
        </w:rPr>
        <w:t>, prior to the related Payment Date, the Backup Servicer shall review the Servicing Report to ensure that it is complete on its face and that the following items in such Servicing Report have been accurately calculated, if applicable, and reported: (A) the Borrowing Base, (B) the Backup Servicing Fee, (C) the Aggregate Outstanding Loan Balance of the Loan Assets that are current and not past due, (D) the Charged-Off Ratio, (E) the Delinquency Ratio, and (F) the Aggregate Outstanding Loan Balance. The Backup Servicer by a separate written report shall notify the Administrative Agent and the Servicer of any disagreements with the Monthly Report based on such review not later than the Business Day preceding such Payment Date to such Persons.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0960"/>
          </w:cols>
          <w:pgMar w:left="460" w:top="269" w:right="479" w:bottom="1440" w:gutter="0" w:footer="0" w:header="0"/>
        </w:sectPr>
      </w:pPr>
    </w:p>
    <w:bookmarkStart w:id="213" w:name="page214"/>
    <w:bookmarkEnd w:id="213"/>
    <w:p>
      <w:pPr>
        <w:ind w:left="440" w:firstLine="421"/>
        <w:spacing w:after="0" w:line="269" w:lineRule="auto"/>
        <w:tabs>
          <w:tab w:leader="none" w:pos="1164"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If the Servicer disagrees with the report provided under paragraph (iii) above by the Backup Servicer or if the Servicer or any subservicer has not reconciled such discrepancy, the Backup Servicer agrees to confer with the Servicer to resolve such disagreement on or prior to the next succeeding Determination Date and shall settle such discrepancy with the Servicer if possible, and notify the Administrative Agent of the resolution thereof. The Servicer hereby agrees to cooperate at its own expense with the Backup Servicer in reconciling any discrepancies herein. If within 20 days after the delivery of the report provided under paragraph (iii) above by the Backup Servicer, such discrepancy is not resolved, the Backup Servicer shall promptly notify the Administrative Agent of the continued existence of such discrepancy. Following receipt of such notice by the Administrative Agent, the Servicer shall deliver to the Administrative Agent, the Secured Parties and the Backup Servicer no later than the related Payment Date a certificate describing the nature and amount of such discrepancies and the actions the Servicer proposes to take with respect thereto.</w:t>
      </w:r>
    </w:p>
    <w:p>
      <w:pPr>
        <w:spacing w:after="0" w:line="70" w:lineRule="exact"/>
        <w:rPr>
          <w:rFonts w:ascii="Arial" w:cs="Arial" w:eastAsia="Arial" w:hAnsi="Arial"/>
          <w:sz w:val="17"/>
          <w:szCs w:val="17"/>
          <w:color w:val="auto"/>
        </w:rPr>
      </w:pPr>
    </w:p>
    <w:p>
      <w:pPr>
        <w:ind w:right="240" w:firstLine="989"/>
        <w:spacing w:after="0" w:line="262" w:lineRule="auto"/>
        <w:tabs>
          <w:tab w:leader="none" w:pos="1230" w:val="left"/>
        </w:tabs>
        <w:numPr>
          <w:ilvl w:val="1"/>
          <w:numId w:val="212"/>
        </w:numPr>
        <w:rPr>
          <w:rFonts w:ascii="Arial" w:cs="Arial" w:eastAsia="Arial" w:hAnsi="Arial"/>
          <w:sz w:val="18"/>
          <w:szCs w:val="18"/>
          <w:color w:val="auto"/>
        </w:rPr>
      </w:pPr>
      <w:r>
        <w:rPr>
          <w:rFonts w:ascii="Arial" w:cs="Arial" w:eastAsia="Arial" w:hAnsi="Arial"/>
          <w:sz w:val="18"/>
          <w:szCs w:val="18"/>
          <w:u w:val="single" w:color="auto"/>
          <w:color w:val="auto"/>
        </w:rPr>
        <w:t>Reliance on Spreadsheet</w:t>
      </w:r>
      <w:r>
        <w:rPr>
          <w:rFonts w:ascii="Arial" w:cs="Arial" w:eastAsia="Arial" w:hAnsi="Arial"/>
          <w:sz w:val="18"/>
          <w:szCs w:val="18"/>
          <w:color w:val="auto"/>
        </w:rPr>
        <w:t xml:space="preserve">. With respect to the duties described in </w:t>
      </w:r>
      <w:r>
        <w:rPr>
          <w:rFonts w:ascii="Arial" w:cs="Arial" w:eastAsia="Arial" w:hAnsi="Arial"/>
          <w:sz w:val="18"/>
          <w:szCs w:val="18"/>
          <w:u w:val="single" w:color="auto"/>
          <w:color w:val="auto"/>
        </w:rPr>
        <w:t>Section 7.2(b)</w:t>
      </w:r>
      <w:r>
        <w:rPr>
          <w:rFonts w:ascii="Arial" w:cs="Arial" w:eastAsia="Arial" w:hAnsi="Arial"/>
          <w:sz w:val="18"/>
          <w:szCs w:val="18"/>
          <w:color w:val="auto"/>
        </w:rPr>
        <w:t>, the Backup Servicer, is entitled to rely conclusively, and shall be fully protected in so relying, on the contents of each Spreadsheet, including, but not limited to, the completeness and accuracy thereof, provided by the Servicer.</w:t>
      </w:r>
    </w:p>
    <w:p>
      <w:pPr>
        <w:spacing w:after="0" w:line="182" w:lineRule="exact"/>
        <w:rPr>
          <w:sz w:val="20"/>
          <w:szCs w:val="20"/>
          <w:color w:val="auto"/>
        </w:rPr>
      </w:pPr>
    </w:p>
    <w:p>
      <w:pPr>
        <w:ind w:right="100" w:firstLine="987"/>
        <w:spacing w:after="0" w:line="283"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u w:val="single" w:color="auto"/>
          <w:color w:val="auto"/>
        </w:rPr>
        <w:t>Merger or Consolidation</w:t>
      </w:r>
      <w:r>
        <w:rPr>
          <w:rFonts w:ascii="Arial" w:cs="Arial" w:eastAsia="Arial" w:hAnsi="Arial"/>
          <w:sz w:val="16"/>
          <w:szCs w:val="16"/>
          <w:color w:val="auto"/>
        </w:rPr>
        <w:t>. Any Person (i) into which the Backup Servicer may be merged or consolidated, (ii) that may result from any merger or consolidation to which the Backup Servicer shall be a party, or (iii) that may succeed to the properties and assets of the Backup Servicer substantially as a whole, which Person in any of the foregoing cases executes an agreement of assumption to perform every obligation of the Backup Servicer hereunder, shall be the successor to the Backup Servicer under this Agreement without further act on the part of any of the parties to this Agreement provided such Person is organized under the laws of the United States of America or any one of the States thereof or the District of Columbia (or any domestic branch of a foreign bank), (i) (a) that has either (1) a long-term unsecured debt rating of “A” or better by S&amp;P and “A2” or better by Moody’s or (2) a short-term unsecured debt rating or certificate of deposit rating of “A-1” or better by S&amp;P or “P-1” or better by Moody’s,</w:t>
      </w:r>
    </w:p>
    <w:p>
      <w:pPr>
        <w:spacing w:after="0" w:line="1" w:lineRule="exact"/>
        <w:rPr>
          <w:sz w:val="20"/>
          <w:szCs w:val="20"/>
          <w:color w:val="auto"/>
        </w:rPr>
      </w:pPr>
    </w:p>
    <w:p>
      <w:pPr>
        <w:jc w:val="both"/>
        <w:ind w:right="20" w:firstLine="2"/>
        <w:spacing w:after="0" w:line="253" w:lineRule="auto"/>
        <w:tabs>
          <w:tab w:leader="none" w:pos="25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parent corporation which has either (1) a long-term unsecured debt rating of “A” or better by S&amp;P and “A2” or better by Moody’s or (2) a short-term unsecured debt rating or certificate of deposit rating of “A-1” or better by S&amp;P and “P-1” or better by Moody’s or (c) is otherwise acceptable to the Administrative Agent.</w:t>
      </w:r>
    </w:p>
    <w:p>
      <w:pPr>
        <w:spacing w:after="0" w:line="191" w:lineRule="exact"/>
        <w:rPr>
          <w:sz w:val="20"/>
          <w:szCs w:val="20"/>
          <w:color w:val="auto"/>
        </w:rPr>
      </w:pPr>
    </w:p>
    <w:p>
      <w:pPr>
        <w:jc w:val="both"/>
        <w:ind w:right="120" w:firstLine="987"/>
        <w:spacing w:after="0" w:line="286"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u w:val="single" w:color="auto"/>
          <w:color w:val="auto"/>
        </w:rPr>
        <w:t>Backup Servicing Compensation</w:t>
      </w:r>
      <w:r>
        <w:rPr>
          <w:rFonts w:ascii="Arial" w:cs="Arial" w:eastAsia="Arial" w:hAnsi="Arial"/>
          <w:sz w:val="16"/>
          <w:szCs w:val="16"/>
          <w:color w:val="auto"/>
        </w:rPr>
        <w:t xml:space="preserve">. As compensation for its back-up servicing activities hereunder, the Backup Servicer shall be entitled to receive the Backup Servicing Fee from the Servicer. To the extent that such Backup Servicing Fee is not paid by the Servicer, the Backup Servicer shall be entitled to receive the unpaid balance of its Backup Servicing Fee to the extent of funds available therefor pursuant to </w:t>
      </w:r>
      <w:r>
        <w:rPr>
          <w:rFonts w:ascii="Arial" w:cs="Arial" w:eastAsia="Arial" w:hAnsi="Arial"/>
          <w:sz w:val="16"/>
          <w:szCs w:val="16"/>
          <w:u w:val="single" w:color="auto"/>
          <w:color w:val="auto"/>
        </w:rPr>
        <w:t>Section 2.04(a)</w:t>
      </w:r>
    </w:p>
    <w:p>
      <w:pPr>
        <w:spacing w:after="0" w:line="2" w:lineRule="exact"/>
        <w:rPr>
          <w:sz w:val="20"/>
          <w:szCs w:val="20"/>
          <w:color w:val="auto"/>
        </w:rPr>
      </w:pPr>
    </w:p>
    <w:p>
      <w:pPr>
        <w:ind w:right="240" w:firstLine="2"/>
        <w:spacing w:after="0" w:line="252" w:lineRule="auto"/>
        <w:tabs>
          <w:tab w:leader="none" w:pos="214" w:val="left"/>
        </w:tabs>
        <w:numPr>
          <w:ilvl w:val="0"/>
          <w:numId w:val="214"/>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2.04(b)(iv)</w:t>
      </w:r>
      <w:r>
        <w:rPr>
          <w:rFonts w:ascii="Arial" w:cs="Arial" w:eastAsia="Arial" w:hAnsi="Arial"/>
          <w:sz w:val="18"/>
          <w:szCs w:val="18"/>
          <w:color w:val="auto"/>
        </w:rPr>
        <w:t xml:space="preserve">, as applicable. The Backup Servicer’s entitlement to receive the Backup Servicing Fee shall cease (excluding any unpaid outstanding amounts as of that date) on the earliest to occur of: (i) it becoming the Successor Servicer, (ii) its removal as Backup Servicer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(iii) the termination of this Agreement. Upon becoming Successor Servicer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the Backup Servicer shall be entitled to the Servicing Fee.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0940"/>
          </w:cols>
          <w:pgMar w:left="460" w:top="273" w:right="499" w:bottom="1440" w:gutter="0" w:footer="0" w:header="0"/>
        </w:sectPr>
      </w:pPr>
    </w:p>
    <w:bookmarkStart w:id="214" w:name="page215"/>
    <w:bookmarkEnd w:id="214"/>
    <w:p>
      <w:pPr>
        <w:jc w:val="both"/>
        <w:ind w:right="320" w:firstLine="987"/>
        <w:spacing w:after="0" w:line="28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7.05 </w:t>
      </w:r>
      <w:r>
        <w:rPr>
          <w:rFonts w:ascii="Arial" w:cs="Arial" w:eastAsia="Arial" w:hAnsi="Arial"/>
          <w:sz w:val="17"/>
          <w:szCs w:val="17"/>
          <w:u w:val="single" w:color="auto"/>
          <w:color w:val="auto"/>
        </w:rPr>
        <w:t>Backup Servicer Removal</w:t>
      </w:r>
      <w:r>
        <w:rPr>
          <w:rFonts w:ascii="Arial" w:cs="Arial" w:eastAsia="Arial" w:hAnsi="Arial"/>
          <w:sz w:val="17"/>
          <w:szCs w:val="17"/>
          <w:color w:val="auto"/>
        </w:rPr>
        <w:t>. The Backup Servicer may be removed, with or without cause, by the Administrative Agent by notice given in writing to the Backup Servicer (the “</w:t>
      </w:r>
      <w:r>
        <w:rPr>
          <w:rFonts w:ascii="Arial" w:cs="Arial" w:eastAsia="Arial" w:hAnsi="Arial"/>
          <w:sz w:val="17"/>
          <w:szCs w:val="17"/>
          <w:u w:val="single" w:color="auto"/>
          <w:color w:val="auto"/>
        </w:rPr>
        <w:t>Backup Servicer Termination Notice</w:t>
      </w:r>
      <w:r>
        <w:rPr>
          <w:rFonts w:ascii="Arial" w:cs="Arial" w:eastAsia="Arial" w:hAnsi="Arial"/>
          <w:sz w:val="17"/>
          <w:szCs w:val="17"/>
          <w:color w:val="auto"/>
        </w:rPr>
        <w:t>”). In the event of any such removal, a replacement Backup Servicer shall be appointed by the Administrative Agent (acting upon the direction of the Majority Lenders).</w:t>
      </w:r>
    </w:p>
    <w:p>
      <w:pPr>
        <w:spacing w:after="0" w:line="166" w:lineRule="exact"/>
        <w:rPr>
          <w:sz w:val="20"/>
          <w:szCs w:val="20"/>
          <w:color w:val="auto"/>
        </w:rPr>
      </w:pPr>
    </w:p>
    <w:p>
      <w:pPr>
        <w:ind w:firstLine="987"/>
        <w:spacing w:after="0" w:line="287"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(a) The Backup Servicer undertakes to perform only such duties and obligations as are specifically set forth in this Agreement, it being expressly understood by all parties hereto that there are no implied duties or obligations of the Backup Servicer hereunder. Without limiting the generality of the foregoing, the Backup Servicer, except as expressly set forth herein, shall have no obligation to supervise, verify, monitor or administer the performance of the Servicer. The Backup Servicer may act through its agents, nominees, attorneys and custodians in performing any of its duties and obligations under this Agreement, it being understood by the parties hereto that the Backup Servicer will be responsible for any willfull misconduct or gross negligence on the part of such agents, attorneys or custodians acting on the routine and ordinary day-to-day operations for and on behalf of the Backup Servicer. Neither the Backup Servicer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62" w:lineRule="exact"/>
        <w:rPr>
          <w:sz w:val="20"/>
          <w:szCs w:val="20"/>
          <w:color w:val="auto"/>
        </w:rPr>
      </w:pPr>
    </w:p>
    <w:p>
      <w:pPr>
        <w:ind w:right="60" w:firstLine="989"/>
        <w:spacing w:after="0" w:line="282" w:lineRule="auto"/>
        <w:tabs>
          <w:tab w:leader="none" w:pos="123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Backup Servicer shall not be liable for any obligation of the Servicer contained in this Agreement or for any errors of the Servicer contained in any computer tape, certificate or other data or document delivered to the Backup Servicer hereunder or on which the Backup Servicer must rely in order to perform its obligations hereunder, and the Secured Parties, the Administrative Agent, the Backup Servicer and the Collateral Custodian each agree to look only to the Servicer to perform such obligations. The Backup Servicer shall have no responsibility and shall not be in default hereunder or incur any liability for any failure, error, malfunction or any delay in carrying out any of its duties under this Agreement if such failure or delay results from the Backup Servicer acting in accordance with information prepared or supplied by a Person other than the Backup Servicer or the failure of any such other Person to prepare or provide such information. The Backup Servicer shall have no responsibility, shall not be in default and shall incur no liability for (i) any act or failure to act of any third party, including the Servicer, (ii) any inaccuracy or omission in a notice or communication received by the Backup Servicer from any third party, (iii) the invalidity or unenforceability of any Collateral under Applicable Law,</w:t>
      </w:r>
    </w:p>
    <w:p>
      <w:pPr>
        <w:spacing w:after="0" w:line="3" w:lineRule="exact"/>
        <w:rPr>
          <w:rFonts w:ascii="Arial" w:cs="Arial" w:eastAsia="Arial" w:hAnsi="Arial"/>
          <w:sz w:val="16"/>
          <w:szCs w:val="16"/>
          <w:color w:val="auto"/>
        </w:rPr>
      </w:pPr>
    </w:p>
    <w:p>
      <w:pPr>
        <w:ind w:right="20" w:firstLine="2"/>
        <w:spacing w:after="0" w:line="258" w:lineRule="auto"/>
        <w:tabs>
          <w:tab w:leader="none" w:pos="303"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breach or inaccuracy of any representation or warranty made with respect to any Collateral, or (v) the acts or omissions of any successor Backup Servicer.</w:t>
      </w:r>
    </w:p>
    <w:p>
      <w:pPr>
        <w:spacing w:after="0" w:line="185" w:lineRule="exact"/>
        <w:rPr>
          <w:sz w:val="20"/>
          <w:szCs w:val="20"/>
          <w:color w:val="auto"/>
        </w:rPr>
      </w:pPr>
    </w:p>
    <w:p>
      <w:pPr>
        <w:ind w:right="200" w:firstLine="987"/>
        <w:spacing w:after="0" w:line="270"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The Backup Servicer Not to Resign</w:t>
      </w:r>
      <w:r>
        <w:rPr>
          <w:rFonts w:ascii="Arial" w:cs="Arial" w:eastAsia="Arial" w:hAnsi="Arial"/>
          <w:sz w:val="17"/>
          <w:szCs w:val="17"/>
          <w:color w:val="auto"/>
        </w:rPr>
        <w:t xml:space="preserve">. The Backup Servicer shall not resign (except with prior consent of the Administrative Agent which consent shall not be unreasonably withheld) from the obligations and duties hereby imposed on it except upon the Backup Servicer’s determination that (i) the performance of its duties hereunder is or becomes impermissible under Applicable Law and (ii) there is no reasonable action that the Backup Servicer could take to make the performance of its duties hereunder permissible under Applicable Law. Any such determination permitting the resignation of the Backup Servicer shall be evidenced as to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by an Opinion of Counsel to such effect delivered to the Administrative Agent. No such resignation shall become effective until a successor Backup Servicer shall have assumed the responsibilities and obligations of the Backup Servicer 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0960"/>
          </w:cols>
          <w:pgMar w:left="460" w:top="273" w:right="47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w:t>
      </w:r>
    </w:p>
    <w:p>
      <w:pPr>
        <w:spacing w:after="0" w:line="2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(each, an “Event of Default”) shall occur:</w:t>
      </w:r>
    </w:p>
    <w:p>
      <w:pPr>
        <w:spacing w:after="0" w:line="115" w:lineRule="exact"/>
        <w:rPr>
          <w:sz w:val="20"/>
          <w:szCs w:val="20"/>
          <w:color w:val="auto"/>
        </w:rPr>
      </w:pPr>
    </w:p>
    <w:p>
      <w:pPr>
        <w:ind w:left="1120" w:hanging="251"/>
        <w:spacing w:after="0"/>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Borrower fails to:</w:t>
      </w:r>
    </w:p>
    <w:p>
      <w:pPr>
        <w:spacing w:after="0" w:line="115" w:lineRule="exact"/>
        <w:rPr>
          <w:rFonts w:ascii="Arial" w:cs="Arial" w:eastAsia="Arial" w:hAnsi="Arial"/>
          <w:sz w:val="18"/>
          <w:szCs w:val="18"/>
          <w:color w:val="auto"/>
        </w:rPr>
      </w:pPr>
    </w:p>
    <w:p>
      <w:pPr>
        <w:ind w:left="960" w:hanging="219"/>
        <w:spacing w:after="0"/>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make any payment of principal when due hereunder;</w:t>
      </w:r>
    </w:p>
    <w:p>
      <w:pPr>
        <w:spacing w:after="0" w:line="115" w:lineRule="exact"/>
        <w:rPr>
          <w:rFonts w:ascii="Arial" w:cs="Arial" w:eastAsia="Arial" w:hAnsi="Arial"/>
          <w:sz w:val="18"/>
          <w:szCs w:val="18"/>
          <w:color w:val="auto"/>
        </w:rPr>
      </w:pPr>
    </w:p>
    <w:p>
      <w:pPr>
        <w:ind w:left="1000" w:hanging="259"/>
        <w:spacing w:after="0"/>
        <w:tabs>
          <w:tab w:leader="none" w:pos="10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eliminate any Borrowing Base Deficiency within two Business Days of the occurrence thereof;</w:t>
      </w:r>
    </w:p>
    <w:p>
      <w:pPr>
        <w:spacing w:after="0" w:line="115" w:lineRule="exact"/>
        <w:rPr>
          <w:rFonts w:ascii="Arial" w:cs="Arial" w:eastAsia="Arial" w:hAnsi="Arial"/>
          <w:sz w:val="18"/>
          <w:szCs w:val="18"/>
          <w:color w:val="auto"/>
        </w:rPr>
      </w:pPr>
    </w:p>
    <w:p>
      <w:pPr>
        <w:ind w:left="320" w:right="420" w:firstLine="421"/>
        <w:spacing w:after="0" w:line="275" w:lineRule="auto"/>
        <w:tabs>
          <w:tab w:leader="none" w:pos="105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make payment of outstanding principal of all outstanding Advances, if any, and all Yield and all Fees accrued and unpaid thereon together with all other Obligations on the Final Maturity Date;</w:t>
      </w:r>
    </w:p>
    <w:p>
      <w:pPr>
        <w:spacing w:after="0" w:line="63" w:lineRule="exact"/>
        <w:rPr>
          <w:rFonts w:ascii="Arial" w:cs="Arial" w:eastAsia="Arial" w:hAnsi="Arial"/>
          <w:sz w:val="18"/>
          <w:szCs w:val="18"/>
          <w:color w:val="auto"/>
        </w:rPr>
      </w:pPr>
    </w:p>
    <w:p>
      <w:pPr>
        <w:ind w:left="1040" w:hanging="299"/>
        <w:spacing w:after="0"/>
        <w:tabs>
          <w:tab w:leader="none" w:pos="10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eliminate any URCA Shortfall Amount in its entirety within 15 days of the occurrence thereof; or</w:t>
      </w:r>
    </w:p>
    <w:p>
      <w:pPr>
        <w:spacing w:after="0" w:line="115" w:lineRule="exact"/>
        <w:rPr>
          <w:rFonts w:ascii="Arial" w:cs="Arial" w:eastAsia="Arial" w:hAnsi="Arial"/>
          <w:sz w:val="18"/>
          <w:szCs w:val="18"/>
          <w:color w:val="auto"/>
        </w:rPr>
      </w:pPr>
    </w:p>
    <w:p>
      <w:pPr>
        <w:ind w:left="320" w:right="400" w:firstLine="421"/>
        <w:spacing w:after="0" w:line="339" w:lineRule="auto"/>
        <w:tabs>
          <w:tab w:leader="none" w:pos="99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make payment of any other Obligation when due hereunder, whether of Yield on each Payment Date, fees or payment of any other Obligations under any other Transaction Document when due, and such failure continues unremedied for two Business Days; or</w:t>
      </w:r>
    </w:p>
    <w:p>
      <w:pPr>
        <w:spacing w:after="0" w:line="17" w:lineRule="exact"/>
        <w:rPr>
          <w:rFonts w:ascii="Arial" w:cs="Arial" w:eastAsia="Arial" w:hAnsi="Arial"/>
          <w:sz w:val="16"/>
          <w:szCs w:val="16"/>
          <w:color w:val="auto"/>
        </w:rPr>
      </w:pPr>
    </w:p>
    <w:p>
      <w:pPr>
        <w:ind w:left="-120" w:right="160" w:firstLine="989"/>
        <w:spacing w:after="0" w:line="258" w:lineRule="auto"/>
        <w:tabs>
          <w:tab w:leader="none" w:pos="112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Borrower or the Transferor defaults in making any payment required to be made under one or more agreements for borrowed money to which it is a party in an aggregate principal amount in excess of (x) $500,000 for the Borrower, or (y) $25,000,000 for the Transferor, or an event of default is declared under any such facility (without regard to waivers granted thereunder), and, in each case, such default is not cured or remedied within the applicable cure period, if any, provided for under such agreement; or</w:t>
      </w:r>
    </w:p>
    <w:p>
      <w:pPr>
        <w:spacing w:after="0" w:line="77" w:lineRule="exact"/>
        <w:rPr>
          <w:rFonts w:ascii="Arial" w:cs="Arial" w:eastAsia="Arial" w:hAnsi="Arial"/>
          <w:sz w:val="18"/>
          <w:szCs w:val="18"/>
          <w:color w:val="auto"/>
        </w:rPr>
      </w:pPr>
    </w:p>
    <w:p>
      <w:pPr>
        <w:ind w:left="-120" w:firstLine="989"/>
        <w:spacing w:after="0" w:line="253" w:lineRule="auto"/>
        <w:tabs>
          <w:tab w:leader="none" w:pos="111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failure on the part of the Borrower or the Transferor duly to observe or perform any covenants or agreements of the Borrower or the Transferor set forth in this Agreement or the other Transaction Documents to which the Borrower or the Transferor is a party (other than the failure to meet any Concentration Limit or any Collateral Quality Test (except to the extent such failure results in any other Default hereunder, including a Borrowing Base Deficiency or Foreign Currency Excess Exposure)) and the same continues unremedied for a period of 30 days (if such failure can be remedied) after the earlier to occur of (i) the date on which written notice of such failure requiring the same to be remedied shall have been given to the Borrower or the Transferor by the Administrative Agent or Collateral Agent, and (ii) the date on which the Borrower or the Transferor acquires knowledge thereof;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0740"/>
          </w:cols>
          <w:pgMar w:left="580" w:top="269" w:right="579" w:bottom="1440" w:gutter="0" w:footer="0" w:header="0"/>
        </w:sectPr>
      </w:pPr>
    </w:p>
    <w:bookmarkStart w:id="216" w:name="page217"/>
    <w:bookmarkEnd w:id="216"/>
    <w:p>
      <w:pPr>
        <w:ind w:left="1200" w:hanging="251"/>
        <w:spacing w:after="0"/>
        <w:tabs>
          <w:tab w:leader="none" w:pos="12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occurrence of a Bankruptcy Event relating to the Transferor or the Borrower; or</w:t>
      </w:r>
    </w:p>
    <w:p>
      <w:pPr>
        <w:spacing w:after="0" w:line="115" w:lineRule="exact"/>
        <w:rPr>
          <w:rFonts w:ascii="Arial" w:cs="Arial" w:eastAsia="Arial" w:hAnsi="Arial"/>
          <w:sz w:val="18"/>
          <w:szCs w:val="18"/>
          <w:color w:val="auto"/>
        </w:rPr>
      </w:pPr>
    </w:p>
    <w:p>
      <w:pPr>
        <w:ind w:left="-40" w:right="280" w:firstLine="989"/>
        <w:spacing w:after="0" w:line="275" w:lineRule="auto"/>
        <w:tabs>
          <w:tab w:leader="none" w:pos="119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occurrence of a Servicer Termination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Solar Capital or an Affiliate of the Borrower is the Servicer) past any applicable notice or cure period provided in the definition thereof; or</w:t>
      </w:r>
    </w:p>
    <w:p>
      <w:pPr>
        <w:spacing w:after="0" w:line="63" w:lineRule="exact"/>
        <w:rPr>
          <w:rFonts w:ascii="Arial" w:cs="Arial" w:eastAsia="Arial" w:hAnsi="Arial"/>
          <w:sz w:val="18"/>
          <w:szCs w:val="18"/>
          <w:color w:val="auto"/>
        </w:rPr>
      </w:pPr>
    </w:p>
    <w:p>
      <w:pPr>
        <w:ind w:left="-40" w:right="60" w:firstLine="989"/>
        <w:spacing w:after="0" w:line="295" w:lineRule="auto"/>
        <w:tabs>
          <w:tab w:leader="none" w:pos="117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(1) the rendering of one or more final judgments, decrees or orders by a court or arbitrator of competent jurisdiction for the payment of money in excess individually or in the aggregate of $500,000, against the Borrower, and the Borrower shall not have either (i) discharged or provided for the discharge of any such judgment, decree or order in accordance with its terms or (ii) perfected a timely appeal of such judgment, decree or order and caused the execution of same to be stayed during the pendency of the appeal or (2) the Borrower shall have made payments of amounts in excess of $500,000 in the settlement of any litigation, claim or dispute (excluding payments made from insurance proceeds); or</w:t>
      </w:r>
    </w:p>
    <w:p>
      <w:pPr>
        <w:spacing w:after="0" w:line="51" w:lineRule="exact"/>
        <w:rPr>
          <w:rFonts w:ascii="Arial" w:cs="Arial" w:eastAsia="Arial" w:hAnsi="Arial"/>
          <w:sz w:val="16"/>
          <w:szCs w:val="16"/>
          <w:color w:val="auto"/>
        </w:rPr>
      </w:pPr>
    </w:p>
    <w:p>
      <w:pPr>
        <w:ind w:left="-40" w:right="140" w:firstLine="989"/>
        <w:spacing w:after="0" w:line="262" w:lineRule="auto"/>
        <w:tabs>
          <w:tab w:leader="none" w:pos="12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the breach of the Borrower of the covenants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5.02(a)</w:t>
      </w:r>
      <w:r>
        <w:rPr>
          <w:rFonts w:ascii="Arial" w:cs="Arial" w:eastAsia="Arial" w:hAnsi="Arial"/>
          <w:sz w:val="18"/>
          <w:szCs w:val="18"/>
          <w:color w:val="auto"/>
        </w:rPr>
        <w:t>, or the Borrower shall otherwise fail to qualify as a bankruptcy-remote entity based upon customary criteria such that reputable counsel could no longer render a substantive nonconsolidation opinion with respect to the Borrower and the Transferor; or</w:t>
      </w:r>
    </w:p>
    <w:p>
      <w:pPr>
        <w:spacing w:after="0" w:line="74" w:lineRule="exact"/>
        <w:rPr>
          <w:rFonts w:ascii="Arial" w:cs="Arial" w:eastAsia="Arial" w:hAnsi="Arial"/>
          <w:sz w:val="18"/>
          <w:szCs w:val="18"/>
          <w:color w:val="auto"/>
        </w:rPr>
      </w:pPr>
    </w:p>
    <w:p>
      <w:pPr>
        <w:ind w:left="-40" w:firstLine="989"/>
        <w:spacing w:after="0" w:line="262" w:lineRule="auto"/>
        <w:tabs>
          <w:tab w:leader="none" w:pos="12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(1) any Transaction Document, or any Lien or security interest granted thereunder, shall (except in accordance with its terms), in whole or in part, terminate, cease to be effective or cease to be the legally valid, binding and enforceable obligation of the Borrower, the Transferor, or the Servicer,</w:t>
      </w:r>
    </w:p>
    <w:p>
      <w:pPr>
        <w:spacing w:after="0" w:line="74" w:lineRule="exact"/>
        <w:rPr>
          <w:rFonts w:ascii="Arial" w:cs="Arial" w:eastAsia="Arial" w:hAnsi="Arial"/>
          <w:sz w:val="18"/>
          <w:szCs w:val="18"/>
          <w:color w:val="auto"/>
        </w:rPr>
      </w:pPr>
    </w:p>
    <w:p>
      <w:pPr>
        <w:ind w:left="400" w:right="340" w:firstLine="421"/>
        <w:spacing w:after="0" w:line="262" w:lineRule="auto"/>
        <w:tabs>
          <w:tab w:leader="none" w:pos="107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Borrower, the Transferor or the Servicer or any Affiliate or any other party acting under its direction shall, directly or indirectly, contest in any manner the effectiveness, validity, binding nature or enforceability of any Transaction Document or any lien or security interest thereunder, or</w:t>
      </w:r>
    </w:p>
    <w:p>
      <w:pPr>
        <w:spacing w:after="0" w:line="74" w:lineRule="exact"/>
        <w:rPr>
          <w:rFonts w:ascii="Arial" w:cs="Arial" w:eastAsia="Arial" w:hAnsi="Arial"/>
          <w:sz w:val="18"/>
          <w:szCs w:val="18"/>
          <w:color w:val="auto"/>
        </w:rPr>
      </w:pPr>
    </w:p>
    <w:p>
      <w:pPr>
        <w:ind w:left="400" w:right="360" w:firstLine="421"/>
        <w:spacing w:after="0" w:line="339" w:lineRule="auto"/>
        <w:tabs>
          <w:tab w:leader="none" w:pos="107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security interest securing any obligation under any Transaction Document shall, in whole or in part, cease to be a first priority perfected security interest except as otherwise expressly permitted to be released in accordance with the applicable Transaction Document; or</w:t>
      </w:r>
    </w:p>
    <w:p>
      <w:pPr>
        <w:spacing w:after="0" w:line="17" w:lineRule="exact"/>
        <w:rPr>
          <w:rFonts w:ascii="Arial" w:cs="Arial" w:eastAsia="Arial" w:hAnsi="Arial"/>
          <w:sz w:val="16"/>
          <w:szCs w:val="16"/>
          <w:color w:val="auto"/>
        </w:rPr>
      </w:pPr>
    </w:p>
    <w:p>
      <w:pPr>
        <w:ind w:left="-40" w:firstLine="989"/>
        <w:spacing w:after="0" w:line="270" w:lineRule="auto"/>
        <w:tabs>
          <w:tab w:leader="none" w:pos="1161"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failure on the part of the Borrower, the Transferor or the Servicer to make any payment or deposit (including, without limitation, with respect to bifurcation and remittance of Interest Collections and Principal Collections or any other payment or deposit required to be made by the terms of the Transaction Documents, including, without limitation, to any Secured Party, Affected Party or Indemnified Party) required by the terms of any Transaction Document (other than any payment set forth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within two Business Days after the date when such payment is due (unless such failure was due solely to an administrative error by the financial institution holding the applicable account crediting any such payment to the wrong account and the Borrower, the Transferor or Servicer and such financial institution work diligently to resolve as promptly as possible and in any event within two Business Days after such error was discovered);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900"/>
          </w:cols>
          <w:pgMar w:left="500" w:top="273" w:right="499" w:bottom="1440" w:gutter="0" w:footer="0" w:header="0"/>
        </w:sectPr>
      </w:pPr>
    </w:p>
    <w:bookmarkStart w:id="217" w:name="page218"/>
    <w:bookmarkEnd w:id="217"/>
    <w:p>
      <w:pPr>
        <w:ind w:firstLine="989"/>
        <w:spacing w:after="0" w:line="274" w:lineRule="auto"/>
        <w:tabs>
          <w:tab w:leader="none" w:pos="1201" w:val="left"/>
        </w:tabs>
        <w:numPr>
          <w:ilvl w:val="0"/>
          <w:numId w:val="2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either the Borrower or Solar Capital shall be required to be registered as an “investment company” within the meaning of Section 8 of the 1940 Act (the parties hereto acknowledging that Solar Capital is regulated as a “business development company” under the 1940 Act) or the arrangements contemplated by the Transaction Documents shall require registration as an “investment company” within the meaning of the 1940 Act, or the business and other activities of the Borrower or Solar Capital, including but not limited to, the acceptance of the Advances by the Borrower made by the Lenders, violate the 1940 Act or the rules and regulations promulgated thereunder (other than in an immaterial manner); or</w:t>
      </w:r>
    </w:p>
    <w:p>
      <w:pPr>
        <w:spacing w:after="0" w:line="66" w:lineRule="exact"/>
        <w:rPr>
          <w:rFonts w:ascii="Arial" w:cs="Arial" w:eastAsia="Arial" w:hAnsi="Arial"/>
          <w:sz w:val="17"/>
          <w:szCs w:val="17"/>
          <w:color w:val="auto"/>
        </w:rPr>
      </w:pPr>
    </w:p>
    <w:p>
      <w:pPr>
        <w:ind w:firstLine="989"/>
        <w:spacing w:after="0" w:line="258" w:lineRule="auto"/>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Internal Revenue Service shall file notice of a lien pursuant to Section 6323 of the Code with regard to any assets of the Borrower or the Transferor and such lien shall not have been released within five Business Days, or the Pension Benefit Guaranty Corporation shall file notice of a lien pursuant to Section 4068 of ERISA with regard to any of the assets of the Borrower or the Transferor and such lien shall not have been released within five Business Days; or</w:t>
      </w:r>
    </w:p>
    <w:p>
      <w:pPr>
        <w:spacing w:after="0" w:line="77" w:lineRule="exact"/>
        <w:rPr>
          <w:rFonts w:ascii="Arial" w:cs="Arial" w:eastAsia="Arial" w:hAnsi="Arial"/>
          <w:sz w:val="18"/>
          <w:szCs w:val="18"/>
          <w:color w:val="auto"/>
        </w:rPr>
      </w:pPr>
    </w:p>
    <w:p>
      <w:pPr>
        <w:ind w:left="1200" w:hanging="211"/>
        <w:spacing w:after="0"/>
        <w:tabs>
          <w:tab w:leader="none" w:pos="12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Change of Control shall occur; or</w:t>
      </w:r>
    </w:p>
    <w:p>
      <w:pPr>
        <w:spacing w:after="0" w:line="115" w:lineRule="exact"/>
        <w:rPr>
          <w:rFonts w:ascii="Arial" w:cs="Arial" w:eastAsia="Arial" w:hAnsi="Arial"/>
          <w:sz w:val="18"/>
          <w:szCs w:val="18"/>
          <w:color w:val="auto"/>
        </w:rPr>
      </w:pPr>
    </w:p>
    <w:p>
      <w:pPr>
        <w:ind w:firstLine="989"/>
        <w:spacing w:after="0" w:line="254" w:lineRule="auto"/>
        <w:tabs>
          <w:tab w:leader="none" w:pos="12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representation, warranty or certification made by the Borrower or the Transferor in any Transaction Document or in any certificate delivered pursuant to any Transaction Document shall prove to have been incorrect when made, such incorrectness can reasonably be expected to result in a Material Adverse Effect, and continues to be unremedied for a period of 30 days after the earlier to occur of (i) the date on which written notice of such incorrectness requiring the same to be remedied shall have been given to the Borrower or the Transferor by the Administrative Agent or the Collateral Agent (which shall be given at the direction of the Administrative Agent) and (ii) the date on which a Responsible Officer of the Borrower or the Transferor acquires knowledge thereof; or</w:t>
      </w:r>
    </w:p>
    <w:p>
      <w:pPr>
        <w:spacing w:after="0" w:line="83" w:lineRule="exact"/>
        <w:rPr>
          <w:rFonts w:ascii="Arial" w:cs="Arial" w:eastAsia="Arial" w:hAnsi="Arial"/>
          <w:sz w:val="18"/>
          <w:szCs w:val="18"/>
          <w:color w:val="auto"/>
        </w:rPr>
      </w:pPr>
    </w:p>
    <w:p>
      <w:pPr>
        <w:ind w:right="640" w:firstLine="989"/>
        <w:spacing w:after="0" w:line="275" w:lineRule="auto"/>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above, failure of the Borrower to pay Yield within two Business Days of any Payment Date or within two Business Days of when otherwise due; or</w:t>
      </w:r>
    </w:p>
    <w:p>
      <w:pPr>
        <w:spacing w:after="0" w:line="63" w:lineRule="exact"/>
        <w:rPr>
          <w:rFonts w:ascii="Arial" w:cs="Arial" w:eastAsia="Arial" w:hAnsi="Arial"/>
          <w:sz w:val="18"/>
          <w:szCs w:val="18"/>
          <w:color w:val="auto"/>
        </w:rPr>
      </w:pPr>
    </w:p>
    <w:p>
      <w:pPr>
        <w:ind w:left="1240" w:hanging="251"/>
        <w:spacing w:after="0"/>
        <w:tabs>
          <w:tab w:leader="none" w:pos="12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Borrower ceases to have a valid, perfected first priority ownership interest in all of the Collateral Portfolio (subject to Permitted</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Liens); or</w:t>
      </w:r>
    </w:p>
    <w:p>
      <w:pPr>
        <w:spacing w:after="0" w:line="100" w:lineRule="exact"/>
        <w:rPr>
          <w:rFonts w:ascii="Arial" w:cs="Arial" w:eastAsia="Arial" w:hAnsi="Arial"/>
          <w:sz w:val="16"/>
          <w:szCs w:val="16"/>
          <w:color w:val="auto"/>
        </w:rPr>
      </w:pPr>
    </w:p>
    <w:p>
      <w:pPr>
        <w:jc w:val="both"/>
        <w:ind w:right="380" w:firstLine="989"/>
        <w:spacing w:after="0" w:line="284" w:lineRule="auto"/>
        <w:tabs>
          <w:tab w:leader="none" w:pos="12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Borrower makes any assignment or attempted assignment of their respective rights or obligations under this Agreement or any other Transaction Document without first obtaining the specific written consent of each of the Lender Agents and the Administrative Agent, which consent may be withheld by any Lender Agent or the Administrative Agent in the exercise of its sole and absolute discretion; or</w:t>
      </w:r>
    </w:p>
    <w:p>
      <w:pPr>
        <w:spacing w:after="0" w:line="58" w:lineRule="exact"/>
        <w:rPr>
          <w:rFonts w:ascii="Arial" w:cs="Arial" w:eastAsia="Arial" w:hAnsi="Arial"/>
          <w:sz w:val="17"/>
          <w:szCs w:val="17"/>
          <w:color w:val="auto"/>
        </w:rPr>
      </w:pPr>
    </w:p>
    <w:p>
      <w:pPr>
        <w:jc w:val="both"/>
        <w:ind w:right="440" w:firstLine="989"/>
        <w:spacing w:after="0" w:line="339" w:lineRule="auto"/>
        <w:tabs>
          <w:tab w:leader="none" w:pos="12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Borrower, the Servicer or the Transferor fails to observe or perform any covenant, agreement or obligation with respect to the management and distribution of funds received with respect to the Collateral Portfolio, and such failure is not cured within two Business Days; or</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40"/>
          </w:cols>
          <w:pgMar w:left="460" w:top="273" w:right="499" w:bottom="1440" w:gutter="0" w:footer="0" w:header="0"/>
        </w:sectPr>
      </w:pPr>
    </w:p>
    <w:bookmarkStart w:id="218" w:name="page219"/>
    <w:bookmarkEnd w:id="218"/>
    <w:p>
      <w:pPr>
        <w:jc w:val="both"/>
        <w:ind w:right="200" w:firstLine="989"/>
        <w:spacing w:after="0" w:line="255" w:lineRule="auto"/>
        <w:tabs>
          <w:tab w:leader="none" w:pos="1210" w:val="left"/>
        </w:tabs>
        <w:numPr>
          <w:ilvl w:val="0"/>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 the failure of the Borrower to maintain at least one Independent Director, (ii) the removal of any Independent Director of the Borrower without “cause” (as such term is defined in the organizational document of the Borrower) or without giving prior written notice to the Administrative Agent and the Lender Agents, each as required in the organizational documents of the Borrower or (iii) an Independent Director of the Borrower which is not provided by Puglisi &amp; Associates or a nationally recognized service reasonably acceptable to the Administrative Agent shall be appointed without the consent of the Administrative Agent; or</w:t>
      </w:r>
    </w:p>
    <w:p>
      <w:pPr>
        <w:spacing w:after="0" w:line="82" w:lineRule="exact"/>
        <w:rPr>
          <w:rFonts w:ascii="Arial" w:cs="Arial" w:eastAsia="Arial" w:hAnsi="Arial"/>
          <w:sz w:val="18"/>
          <w:szCs w:val="18"/>
          <w:color w:val="auto"/>
        </w:rPr>
      </w:pPr>
    </w:p>
    <w:p>
      <w:pPr>
        <w:ind w:right="100" w:firstLine="989"/>
        <w:spacing w:after="0" w:line="255" w:lineRule="auto"/>
        <w:tabs>
          <w:tab w:leader="none" w:pos="122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either (A) a Governmental Authority with the authority to determine the permissibility of the Lenders’ making Advances hereunder or the appropriateness of the accounting or regulatory capital treatment thereof asserts that (i) the Borrower is (or may be deemed) a “covered fund” under the Volcker Rule, and (ii) the terms of this Agreement create an ownership interest (as defined in the Volcker Rule) in the Borrower or (B) the Administrative Agent has reasonably determined that an event of the type described in the foregoing </w:t>
      </w:r>
      <w:r>
        <w:rPr>
          <w:rFonts w:ascii="Arial" w:cs="Arial" w:eastAsia="Arial" w:hAnsi="Arial"/>
          <w:sz w:val="18"/>
          <w:szCs w:val="18"/>
          <w:u w:val="single" w:color="auto"/>
          <w:color w:val="auto"/>
        </w:rPr>
        <w:t>subclause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will, with notice or lapse of time, occur;</w:t>
      </w:r>
    </w:p>
    <w:p>
      <w:pPr>
        <w:spacing w:after="0" w:line="19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then the Administrative Agent or the Majority Lenders, may, by notice to the Borrower, declare the Final Maturity Date to have occurred;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events described in </w:t>
      </w:r>
      <w:r>
        <w:rPr>
          <w:rFonts w:ascii="Arial" w:cs="Arial" w:eastAsia="Arial" w:hAnsi="Arial"/>
          <w:sz w:val="16"/>
          <w:szCs w:val="16"/>
          <w:u w:val="single" w:color="auto"/>
          <w:color w:val="auto"/>
        </w:rPr>
        <w:t>Section 8.01(d)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8.01(j)</w:t>
      </w:r>
      <w:r>
        <w:rPr>
          <w:rFonts w:ascii="Arial" w:cs="Arial" w:eastAsia="Arial" w:hAnsi="Arial"/>
          <w:sz w:val="16"/>
          <w:szCs w:val="16"/>
          <w:color w:val="auto"/>
        </w:rPr>
        <w:t xml:space="preserve"> above, the Final Maturity Date shall be deemed to have occurred automatically upon the occurrence of such event. Upon any such declaration or automatic occurrence, (i) the Borrower shall cease purchasing Loan Assets from the Transferor under the Contribution Agreement, (ii) the Administrative Agent or the Majority Lenders may declare the Revolving Notes to be immediately due and payable in full (without presentment, demand, protest or notice of any kind all of which are hereby waived by the Borrower) and any other Obligations to be immediately due and payable, and (iii) all proceeds and distributions in respect of the Portfolio Assets shall be distributed by the Collateral Agent (at the direction of the Administrative Agent) as described in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in any event remain liable to pay such Advances and all such amounts and Obligations immediately in accordance with </w:t>
      </w:r>
      <w:r>
        <w:rPr>
          <w:rFonts w:ascii="Arial" w:cs="Arial" w:eastAsia="Arial" w:hAnsi="Arial"/>
          <w:sz w:val="16"/>
          <w:szCs w:val="16"/>
          <w:u w:val="single" w:color="auto"/>
          <w:color w:val="auto"/>
        </w:rPr>
        <w:t>Section 2.04(d)</w:t>
      </w:r>
      <w:r>
        <w:rPr>
          <w:rFonts w:ascii="Arial" w:cs="Arial" w:eastAsia="Arial" w:hAnsi="Arial"/>
          <w:sz w:val="16"/>
          <w:szCs w:val="16"/>
          <w:color w:val="auto"/>
        </w:rPr>
        <w:t xml:space="preserve"> hereof). In addition, upon any such declaration or upon any such automatic occurrence, the Collateral Agent, on behalf of the Secured Parties and at the direction of the Administrative Agent, shall have, in addition to all other rights and remedies under this Agreement or otherwise, all other rights and remedies provided under the UCC of the applicable jurisdiction and other Applicable Law, which rights shall be cumulative. Without limiting any obligation of the Servicer hereunder, the Borrower confirms and agrees that the Collateral Agent, on behalf of the Secured Parties and at the direction of the Administrative Agent, (or any designee thereof, including, without limitation, the Servicer), following an Event of Default, shall, at its option, have the sole right to enforce the Borrower’s rights and remedies under each Assigned Document, but without any obligation on the part of the Administrative Agent, the Lenders, the Lender Agents or any of their respective Affiliates to perform any of the obligations of the Borrower under any such Assigned Document. If any Event of Default shall have occurred, the Yield Rate shall be increased pursuant to the increase set forth in the definition of “Applicable Spread”, effective as of the date of the occurrence of such Event of Default, and shall apply after the occurrence of such Event of Default.</w:t>
      </w:r>
    </w:p>
    <w:p>
      <w:pPr>
        <w:spacing w:after="0" w:line="169"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Additional Remedies of the Administrative Agent</w:t>
      </w:r>
      <w:r>
        <w:rPr>
          <w:rFonts w:ascii="Arial" w:cs="Arial" w:eastAsia="Arial" w:hAnsi="Arial"/>
          <w:sz w:val="18"/>
          <w:szCs w:val="18"/>
          <w:color w:val="auto"/>
        </w:rPr>
        <w:t xml:space="preserve">. (a) If, (i) upon the Administrative Agent’s or the Majority Lenders’ declaration that the Advances made to the Borrower hereunder are immediately due and payable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upon the occurrence of an Event of Default, or (ii) on the Final Maturity Date, the aggregate outstanding principal amount of the Advances, all accrued and unpaid Fees and Yield and any other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60"/>
          </w:cols>
          <w:pgMar w:left="460" w:top="273" w:right="479" w:bottom="1440" w:gutter="0" w:footer="0" w:header="0"/>
        </w:sectPr>
      </w:pPr>
    </w:p>
    <w:bookmarkStart w:id="219" w:name="page220"/>
    <w:bookmarkEnd w:id="21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are not immediately paid in full, then the Collateral Agent (acting as directed by the Administrative Agent) or the Administrative Agent (acting as directed by the Majority Lenders), in addition to all other rights specified hereunder, shall have the right, in its own name and as agent for the Lenders and Administrative Agent, to immediately sell (at the Servicer’s expense) in a commercially reasonable manner, in a recognized market (if one exists) at such price or prices as the Administrative Agent may reasonably deem satisfactory, any or all of the Collateral Portfolio and apply the proceeds thereof to the Obligations.</w:t>
      </w:r>
    </w:p>
    <w:p>
      <w:pPr>
        <w:spacing w:after="0" w:line="83" w:lineRule="exact"/>
        <w:rPr>
          <w:sz w:val="20"/>
          <w:szCs w:val="20"/>
          <w:color w:val="auto"/>
        </w:rPr>
      </w:pPr>
    </w:p>
    <w:p>
      <w:pPr>
        <w:ind w:right="140" w:firstLine="989"/>
        <w:spacing w:after="0" w:line="254" w:lineRule="auto"/>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The parties recognize that it may not be possible to sell all of the Collateral Portfolio on a particular Business Day, or in a transaction with the same purchaser, or in the same manner because the market for the assets constituting the Collateral Portfolio may not be liquid. Accordingly, the Administrative Agent may elect, in its sole discretion, the time and manner of liquidating any of the Collateral Portfolio, and nothing contained herein shall obligate the Administrative Agent to liquidate any of the Collateral Portfolio on the date the Administrative Agent or the Majority Lenders declare the Advances made to the Borrower hereunder to be immediately due and payable pursuant to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to liquidate all of the Collateral Portfolio in the same manner or on the same Business Day.</w:t>
      </w:r>
    </w:p>
    <w:p>
      <w:pPr>
        <w:spacing w:after="0" w:line="83" w:lineRule="exact"/>
        <w:rPr>
          <w:rFonts w:ascii="Arial" w:cs="Arial" w:eastAsia="Arial" w:hAnsi="Arial"/>
          <w:sz w:val="18"/>
          <w:szCs w:val="18"/>
          <w:color w:val="auto"/>
        </w:rPr>
      </w:pPr>
    </w:p>
    <w:p>
      <w:pPr>
        <w:ind w:right="160" w:firstLine="989"/>
        <w:spacing w:after="0" w:line="288" w:lineRule="auto"/>
        <w:tabs>
          <w:tab w:leader="none" w:pos="123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the Collateral Agent (acting as directed by the Administrative Agent) or the Administrative Agent proposes to sell the Collateral Portfolio or any part thereof in one or more parcels at a public or private sale, at the request of the Collateral Agent or the Administrative Agent, as applicable, the Borrower and the Servicer shall make available to (i) the Administrative Agent, on a timely basis, all information (including any information that the Borrower and the Servicer is required by law or contract to be kept confidential) relating to the Collateral Portfolio subject to sale, including, without limitation, copies of any disclosure documents, contracts, financial statements of the applicable Obligors, covenant certificates and any other materials requested by the Administrative Agent, and (ii) each prospective bidder, on a timely basis, all reasonable non-confidential information relating to the Collateral Portfolio subject to sale, including, without limitation, copies of any disclosure documents, contracts, financial statements of the applicable Obligors, covenant certificates and any other materials reasonably requested by each such bidder.</w:t>
      </w:r>
    </w:p>
    <w:p>
      <w:pPr>
        <w:spacing w:after="0" w:line="61" w:lineRule="exact"/>
        <w:rPr>
          <w:rFonts w:ascii="Arial" w:cs="Arial" w:eastAsia="Arial" w:hAnsi="Arial"/>
          <w:sz w:val="16"/>
          <w:szCs w:val="16"/>
          <w:color w:val="auto"/>
        </w:rPr>
      </w:pPr>
    </w:p>
    <w:p>
      <w:pPr>
        <w:ind w:firstLine="989"/>
        <w:spacing w:after="0" w:line="287" w:lineRule="auto"/>
        <w:tabs>
          <w:tab w:leader="none" w:pos="12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Each of the Borrower and the Servicer agrees, to the full extent that it may lawfully so agree, that neither it nor anyone claiming through or under it will set up, claim or seek to take advantage of any appraisement, valuation, stay, extension or redemption law now or hereafter in force in any locality where any Collateral Portfolio may be situated in order to prevent, hinder or delay the enforcement or foreclosure of this Agreement, or the absolute sale of any of the Collateral Portfolio or any part thereof, or the final and absolute putting into possession thereof, immediately after such sale, of the purchasers thereof, and each of the Borrower and the Servicer, for itself and all who may at any time claim through or under it, hereby waives, to the full extent that it may be lawful so to do, the benefit of all such laws, and any and all right to have any of the properties or assets constituting the Collateral Portfolio marshaled upon any such sale, and agrees that the Collateral Agent, or the Administrative Agent on its behalf, or any court having jurisdiction to foreclose the security interests granted in this Agreement may sell the Collateral Portfolio as an entirety or in such parcels as the Collateral Agent (acting at the direction of the Administrative Agent) or such court may determine.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0960"/>
          </w:cols>
          <w:pgMar w:left="460" w:top="273" w:right="479" w:bottom="1440" w:gutter="0" w:footer="0" w:header="0"/>
        </w:sectPr>
      </w:pPr>
    </w:p>
    <w:bookmarkStart w:id="220" w:name="page221"/>
    <w:bookmarkEnd w:id="220"/>
    <w:p>
      <w:pPr>
        <w:ind w:left="-20" w:right="40" w:firstLine="989"/>
        <w:spacing w:after="0" w:line="262" w:lineRule="auto"/>
        <w:tabs>
          <w:tab w:leader="none" w:pos="1210"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Any amounts received from any sale or liquidation of the Collateral Portfolio pursuant to this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in excess of the Obligations will be applied by the Collateral Agent (as directed by the Administrative Agent) in accordance with the provisions of </w:t>
      </w:r>
      <w:r>
        <w:rPr>
          <w:rFonts w:ascii="Arial" w:cs="Arial" w:eastAsia="Arial" w:hAnsi="Arial"/>
          <w:sz w:val="18"/>
          <w:szCs w:val="18"/>
          <w:u w:val="single" w:color="auto"/>
          <w:color w:val="auto"/>
        </w:rPr>
        <w:t>Section 2.04(c)</w:t>
      </w:r>
      <w:r>
        <w:rPr>
          <w:rFonts w:ascii="Arial" w:cs="Arial" w:eastAsia="Arial" w:hAnsi="Arial"/>
          <w:sz w:val="18"/>
          <w:szCs w:val="18"/>
          <w:color w:val="auto"/>
        </w:rPr>
        <w:t>, or as a court of competent jurisdiction may otherwise direct.</w:t>
      </w:r>
    </w:p>
    <w:p>
      <w:pPr>
        <w:spacing w:after="0" w:line="74" w:lineRule="exact"/>
        <w:rPr>
          <w:rFonts w:ascii="Arial" w:cs="Arial" w:eastAsia="Arial" w:hAnsi="Arial"/>
          <w:sz w:val="18"/>
          <w:szCs w:val="18"/>
          <w:color w:val="auto"/>
        </w:rPr>
      </w:pPr>
    </w:p>
    <w:p>
      <w:pPr>
        <w:jc w:val="both"/>
        <w:ind w:left="-20" w:right="20" w:firstLine="989"/>
        <w:spacing w:after="0" w:line="277" w:lineRule="auto"/>
        <w:tabs>
          <w:tab w:leader="none" w:pos="119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Administrative Agent, the Lender Agents and the Lenders shall have, in addition to all the rights and remedies provided herein and provided by applicable federal, state, foreign, and local laws (including, without limitation, the rights and remedies of a secured party under the UCC of any applicable state, to the extent that the UCC is applicable, and the right to offset any mutual debt and claim), all rights and remedies available to the Lenders at law, in equity or under any other agreement between any Lender and the Borrower.</w:t>
      </w:r>
    </w:p>
    <w:p>
      <w:pPr>
        <w:spacing w:after="0" w:line="65" w:lineRule="exact"/>
        <w:rPr>
          <w:rFonts w:ascii="Arial" w:cs="Arial" w:eastAsia="Arial" w:hAnsi="Arial"/>
          <w:sz w:val="17"/>
          <w:szCs w:val="17"/>
          <w:color w:val="auto"/>
        </w:rPr>
      </w:pPr>
    </w:p>
    <w:p>
      <w:pPr>
        <w:ind w:left="-20" w:right="100" w:firstLine="989"/>
        <w:spacing w:after="0" w:line="262" w:lineRule="auto"/>
        <w:tabs>
          <w:tab w:leader="none" w:pos="122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Except as otherwise expressly provided in this Agreement, no remedy provided for by this Agreement shall be exclusive of any other remedy, each and every remedy shall be cumulative and in addition to any other remedy, and no delay or omission to exercise any right or remedy shall impair any such right or remedy or shall be deemed to be a waiver of any Event of Default.</w:t>
      </w:r>
    </w:p>
    <w:p>
      <w:pPr>
        <w:spacing w:after="0" w:line="74" w:lineRule="exact"/>
        <w:rPr>
          <w:rFonts w:ascii="Arial" w:cs="Arial" w:eastAsia="Arial" w:hAnsi="Arial"/>
          <w:sz w:val="18"/>
          <w:szCs w:val="18"/>
          <w:color w:val="auto"/>
        </w:rPr>
      </w:pPr>
    </w:p>
    <w:p>
      <w:pPr>
        <w:ind w:left="-20" w:firstLine="989"/>
        <w:spacing w:after="0" w:line="267" w:lineRule="auto"/>
        <w:tabs>
          <w:tab w:leader="none" w:pos="12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of the Borrower and the Servicer hereby irrevocably appoints each of the Collateral Agent and the Administrative Agent its true and lawful attorney (with full power of substitution) in its name, place and stead and at its expense, in connection with the enforcement of the rights and remedies after the occurrence and during the continuance of an Event of Default provided for in this Agreement, including without limitation the following powers: (a) to give any necessary receipts or acquittance for amounts collected or received hereunder, (b) to make all necessary transfers of the Collateral Portfolio in connection with any such sale or other disposition made pursuant hereto, (c) to execute and deliver for value all necessary or appropriate bills of sale, assignments and other instruments in connection with any such sale or other disposition, the Borrower and the Servicer hereby ratifying and confirming all that such attorney (or any substitute) shall lawfully do hereunder and pursuant hereto, and (d) to sign any agreements, orders or other documents in connection with or pursuant to any Transaction Document. Nevertheless, if so requested by the Collateral Agent or the Administrative Agent, the Borrower shall ratify and confirm any such sale or other disposition by executing and delivering to the Collateral Agent or the Administrative Agent or all proper bills of sale, assignments, releases and other instruments as may be designated in any such request. Notwithstanding anything to the contrary in any power of attorney furnished hereunder, the Administrative Agent shall not exercise any power of attorney unless an Event of Default has occurred.</w:t>
      </w:r>
    </w:p>
    <w:p>
      <w:pPr>
        <w:spacing w:after="0" w:line="77" w:lineRule="exact"/>
        <w:rPr>
          <w:rFonts w:ascii="Arial" w:cs="Arial" w:eastAsia="Arial" w:hAnsi="Arial"/>
          <w:sz w:val="17"/>
          <w:szCs w:val="17"/>
          <w:color w:val="auto"/>
        </w:rPr>
      </w:pPr>
    </w:p>
    <w:p>
      <w:pPr>
        <w:ind w:left="-20" w:right="40" w:firstLine="989"/>
        <w:spacing w:after="0" w:line="272" w:lineRule="auto"/>
        <w:tabs>
          <w:tab w:leader="none" w:pos="118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(1) If the Collateral Agent (acting as directed by the Administrative Agent) or the Administrative Agent elects to sell the Collateral Portfolio in whole, but not in part, at a public or private sale, the Borrower may exercise its right of first refusal to repurchase the Collateral Portfolio, in whole but not in part, prior to such sale at a purchase price that is not less than the amount of the Obligations as of the date of such proposed sale. The Borrower’s right of first refusal shall terminate not later than 4:00 p.m. on the second Business Day following the Business Day on which the Borrower receives notice of the Collateral Agent’s or the Administrative Agent’s election to sell such Collateral Portfolio, such notice to attach copies of all Eligible Bids received by the Collateral Agent or the Administrative Agent in respect of such Collateral Portfolio.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0920"/>
          </w:cols>
          <w:pgMar w:left="480" w:top="273" w:right="499" w:bottom="1440" w:gutter="0" w:footer="0" w:header="0"/>
        </w:sectPr>
      </w:pPr>
    </w:p>
    <w:bookmarkStart w:id="221" w:name="page222"/>
    <w:bookmarkEnd w:id="221"/>
    <w:p>
      <w:pPr>
        <w:ind w:left="440" w:firstLine="421"/>
        <w:spacing w:after="0" w:line="269" w:lineRule="auto"/>
        <w:tabs>
          <w:tab w:leader="none" w:pos="1115"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If the Collateral Agent (acting as directed by the Administrative Agent) or the Administrative Agent elects to sell less than all of the Collateral Portfolio in one or more parcels at a public or private sale, the Borrower may exercise its right of first refusal to repurchase such portion of the Collateral Portfolio prior to such sale at a purchase price of not less than the highest Eligible Bid received in respect of such portion of the Collateral Portfolio as of the date of such proposed sale, as notified by the Collateral Agent or the Administrative Agent to the Borrower. The Borrower’s right of first refusal shall terminate not later than 4:00 p.m. on the Business Day on which the Borrower receives notice of the Collateral Agent’s or the Administrative Agent’s election to sell such portion of the Collateral Portfolio, if such notice is delivered by 12:00 p.m. on such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notice is delivered after 12:00 p.m. on the Business Day on which the Borrower receives such notice, or if the highest Eligible Bid received in respect of such portion of the Collateral Portfolio is greater than $25,000,000, the Borrower’s right of first refusal shall terminate not later than 12:00 p.m. on the following Business Day.</w:t>
      </w:r>
    </w:p>
    <w:p>
      <w:pPr>
        <w:spacing w:after="0" w:line="70" w:lineRule="exact"/>
        <w:rPr>
          <w:rFonts w:ascii="Arial" w:cs="Arial" w:eastAsia="Arial" w:hAnsi="Arial"/>
          <w:sz w:val="17"/>
          <w:szCs w:val="17"/>
          <w:color w:val="auto"/>
        </w:rPr>
      </w:pPr>
    </w:p>
    <w:p>
      <w:pPr>
        <w:ind w:left="440" w:right="20" w:firstLine="421"/>
        <w:spacing w:after="0" w:line="258" w:lineRule="auto"/>
        <w:tabs>
          <w:tab w:leader="none" w:pos="111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If the Borrower elects not to exercise its right of first refusal as provided in </w:t>
      </w:r>
      <w:r>
        <w:rPr>
          <w:rFonts w:ascii="Arial" w:cs="Arial" w:eastAsia="Arial" w:hAnsi="Arial"/>
          <w:sz w:val="18"/>
          <w:szCs w:val="18"/>
          <w:u w:val="single" w:color="auto"/>
          <w:color w:val="auto"/>
        </w:rPr>
        <w:t>clauses (1)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w:t>
      </w:r>
      <w:r>
        <w:rPr>
          <w:rFonts w:ascii="Arial" w:cs="Arial" w:eastAsia="Arial" w:hAnsi="Arial"/>
          <w:sz w:val="18"/>
          <w:szCs w:val="18"/>
          <w:color w:val="auto"/>
        </w:rPr>
        <w:t xml:space="preserve"> above, the Collateral Agent (acting as directed by the Administrative Agent) or the Administrative Agent shall sell such Collateral Portfolio or portion thereof for a purchase price equal to the highest of the Eligible Bids then received. For the avoidance of doubt, any determination of the highest Eligible Bid shall only consider bids for the same parcels of the Collateral Portfolio.</w:t>
      </w:r>
    </w:p>
    <w:p>
      <w:pPr>
        <w:spacing w:after="0" w:line="77" w:lineRule="exact"/>
        <w:rPr>
          <w:rFonts w:ascii="Arial" w:cs="Arial" w:eastAsia="Arial" w:hAnsi="Arial"/>
          <w:sz w:val="18"/>
          <w:szCs w:val="18"/>
          <w:color w:val="auto"/>
        </w:rPr>
      </w:pPr>
    </w:p>
    <w:p>
      <w:pPr>
        <w:ind w:left="440" w:right="180" w:firstLine="421"/>
        <w:spacing w:after="0" w:line="339" w:lineRule="auto"/>
        <w:tabs>
          <w:tab w:leader="none" w:pos="111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It is understood that the Borrower may submit its bid for the Collateral Portfolio or any portion thereof as a combined bid with the bids of other members of a group of bidders, and shall have the right to find bidders to bid on the Collateral Portfolio or any portion thereof.</w:t>
      </w:r>
    </w:p>
    <w:p>
      <w:pPr>
        <w:spacing w:after="0" w:line="17" w:lineRule="exact"/>
        <w:rPr>
          <w:rFonts w:ascii="Arial" w:cs="Arial" w:eastAsia="Arial" w:hAnsi="Arial"/>
          <w:sz w:val="16"/>
          <w:szCs w:val="16"/>
          <w:color w:val="auto"/>
        </w:rPr>
      </w:pPr>
    </w:p>
    <w:p>
      <w:pPr>
        <w:ind w:left="1120" w:hanging="259"/>
        <w:spacing w:after="0"/>
        <w:tabs>
          <w:tab w:leader="none" w:pos="11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It is understood that the Borrower’s right of first refusal shall apply to each proposed sale of the same parcel of the Collateral Portfolio.</w:t>
      </w:r>
    </w:p>
    <w:p>
      <w:pPr>
        <w:spacing w:after="0" w:line="138" w:lineRule="exact"/>
        <w:rPr>
          <w:sz w:val="20"/>
          <w:szCs w:val="20"/>
          <w:color w:val="auto"/>
        </w:rPr>
      </w:pPr>
    </w:p>
    <w:p>
      <w:pPr>
        <w:ind w:right="80" w:firstLine="987"/>
        <w:spacing w:after="0" w:line="274"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Volcker Extension</w:t>
      </w:r>
      <w:r>
        <w:rPr>
          <w:rFonts w:ascii="Arial" w:cs="Arial" w:eastAsia="Arial" w:hAnsi="Arial"/>
          <w:sz w:val="17"/>
          <w:szCs w:val="17"/>
          <w:color w:val="auto"/>
        </w:rPr>
        <w:t xml:space="preserve">. (a) If an Event of Default shall have occurred and be continuing pursuant to </w:t>
      </w:r>
      <w:r>
        <w:rPr>
          <w:rFonts w:ascii="Arial" w:cs="Arial" w:eastAsia="Arial" w:hAnsi="Arial"/>
          <w:sz w:val="17"/>
          <w:szCs w:val="17"/>
          <w:u w:val="single" w:color="auto"/>
          <w:color w:val="auto"/>
        </w:rPr>
        <w:t>Section 8.01(s)</w:t>
      </w:r>
      <w:r>
        <w:rPr>
          <w:rFonts w:ascii="Arial" w:cs="Arial" w:eastAsia="Arial" w:hAnsi="Arial"/>
          <w:sz w:val="17"/>
          <w:szCs w:val="17"/>
          <w:color w:val="auto"/>
        </w:rPr>
        <w:t xml:space="preserve"> (any such event, a “</w:t>
      </w:r>
      <w:r>
        <w:rPr>
          <w:rFonts w:ascii="Arial" w:cs="Arial" w:eastAsia="Arial" w:hAnsi="Arial"/>
          <w:sz w:val="17"/>
          <w:szCs w:val="17"/>
          <w:u w:val="single" w:color="auto"/>
          <w:color w:val="auto"/>
        </w:rPr>
        <w:t>Volcker Event</w:t>
      </w:r>
      <w:r>
        <w:rPr>
          <w:rFonts w:ascii="Arial" w:cs="Arial" w:eastAsia="Arial" w:hAnsi="Arial"/>
          <w:sz w:val="17"/>
          <w:szCs w:val="17"/>
          <w:color w:val="auto"/>
        </w:rPr>
        <w:t xml:space="preserve">”), then, notwithstanding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the Administrative Agent may declare the Final Maturity Date to have occurred pursuant to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(which declaration shall be effective) but shall not, prior to the close of business (New York time) on the 30th day following the date on which the Administrative Agent shall have delivered notice to Borrower of the occurrence of such Volcker Event (such time, the “</w:t>
      </w:r>
      <w:r>
        <w:rPr>
          <w:rFonts w:ascii="Arial" w:cs="Arial" w:eastAsia="Arial" w:hAnsi="Arial"/>
          <w:sz w:val="17"/>
          <w:szCs w:val="17"/>
          <w:u w:val="single" w:color="auto"/>
          <w:color w:val="auto"/>
        </w:rPr>
        <w:t>Volcker Extension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Deadline</w:t>
      </w:r>
      <w:r>
        <w:rPr>
          <w:rFonts w:ascii="Arial" w:cs="Arial" w:eastAsia="Arial" w:hAnsi="Arial"/>
          <w:sz w:val="17"/>
          <w:szCs w:val="17"/>
          <w:color w:val="auto"/>
        </w:rPr>
        <w:t xml:space="preserve">”), exercise any of the other remedies set forth in </w:t>
      </w:r>
      <w:r>
        <w:rPr>
          <w:rFonts w:ascii="Arial" w:cs="Arial" w:eastAsia="Arial" w:hAnsi="Arial"/>
          <w:sz w:val="17"/>
          <w:szCs w:val="17"/>
          <w:u w:val="single" w:color="auto"/>
          <w:color w:val="auto"/>
        </w:rPr>
        <w:t>Section 8.02</w:t>
      </w:r>
      <w:r>
        <w:rPr>
          <w:rFonts w:ascii="Arial" w:cs="Arial" w:eastAsia="Arial" w:hAnsi="Arial"/>
          <w:sz w:val="17"/>
          <w:szCs w:val="17"/>
          <w:color w:val="auto"/>
        </w:rPr>
        <w:t>, if and for so long as:</w:t>
      </w:r>
    </w:p>
    <w:p>
      <w:pPr>
        <w:spacing w:after="0" w:line="67" w:lineRule="exact"/>
        <w:rPr>
          <w:sz w:val="20"/>
          <w:szCs w:val="20"/>
          <w:color w:val="auto"/>
        </w:rPr>
      </w:pPr>
    </w:p>
    <w:p>
      <w:pPr>
        <w:ind w:left="1080" w:hanging="219"/>
        <w:spacing w:after="0"/>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 Event of Default, other than the Volcker Event, shall have occurred and be continuing;</w:t>
      </w:r>
    </w:p>
    <w:p>
      <w:pPr>
        <w:spacing w:after="0" w:line="115" w:lineRule="exact"/>
        <w:rPr>
          <w:rFonts w:ascii="Arial" w:cs="Arial" w:eastAsia="Arial" w:hAnsi="Arial"/>
          <w:sz w:val="18"/>
          <w:szCs w:val="18"/>
          <w:color w:val="auto"/>
        </w:rPr>
      </w:pPr>
    </w:p>
    <w:p>
      <w:pPr>
        <w:ind w:left="440" w:right="500" w:firstLine="421"/>
        <w:spacing w:after="0" w:line="275" w:lineRule="auto"/>
        <w:tabs>
          <w:tab w:leader="none" w:pos="112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Borrower and its Affiliates shall be actively engaged in soliciting or making arrangements to cause the repayment in full of the Obligations (whether by refinancing or otherwise);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0960"/>
          </w:cols>
          <w:pgMar w:left="460" w:top="273" w:right="479" w:bottom="1440" w:gutter="0" w:footer="0" w:header="0"/>
        </w:sectPr>
      </w:pPr>
    </w:p>
    <w:bookmarkStart w:id="222" w:name="page223"/>
    <w:bookmarkEnd w:id="222"/>
    <w:p>
      <w:pPr>
        <w:ind w:left="440" w:right="100" w:firstLine="421"/>
        <w:spacing w:after="0" w:line="262" w:lineRule="auto"/>
        <w:tabs>
          <w:tab w:leader="none" w:pos="1174"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on or prior to the fifth Business Day following the date on which the Administrative Agent shall have delivered notice to Borrower of the Event of Default relating to the Volcker Event, the Servicer shall have delivered an Officer’s Certificate certifying that the conditions set forth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have been satisfied.</w:t>
      </w:r>
    </w:p>
    <w:p>
      <w:pPr>
        <w:spacing w:after="0" w:line="74" w:lineRule="exact"/>
        <w:rPr>
          <w:rFonts w:ascii="Arial" w:cs="Arial" w:eastAsia="Arial" w:hAnsi="Arial"/>
          <w:sz w:val="18"/>
          <w:szCs w:val="18"/>
          <w:color w:val="auto"/>
        </w:rPr>
      </w:pPr>
    </w:p>
    <w:p>
      <w:pPr>
        <w:ind w:right="20" w:firstLine="989"/>
        <w:spacing w:after="0" w:line="275" w:lineRule="auto"/>
        <w:tabs>
          <w:tab w:leader="none" w:pos="124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Section 8.03(a)</w:t>
      </w:r>
      <w:r>
        <w:rPr>
          <w:rFonts w:ascii="Arial" w:cs="Arial" w:eastAsia="Arial" w:hAnsi="Arial"/>
          <w:sz w:val="18"/>
          <w:szCs w:val="18"/>
          <w:color w:val="auto"/>
        </w:rPr>
        <w:t xml:space="preserve"> shall apply only to a Volcker Event and shall not be deemed to limit the rights of the Administrative Agent in respect of any other Event of Default.</w:t>
      </w:r>
    </w:p>
    <w:p>
      <w:pPr>
        <w:spacing w:after="0" w:line="63" w:lineRule="exact"/>
        <w:rPr>
          <w:rFonts w:ascii="Arial" w:cs="Arial" w:eastAsia="Arial" w:hAnsi="Arial"/>
          <w:sz w:val="18"/>
          <w:szCs w:val="18"/>
          <w:color w:val="auto"/>
        </w:rPr>
      </w:pPr>
    </w:p>
    <w:p>
      <w:pPr>
        <w:ind w:right="180" w:firstLine="989"/>
        <w:spacing w:after="0" w:line="262" w:lineRule="auto"/>
        <w:tabs>
          <w:tab w:leader="none" w:pos="123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If any of the Obligations shall, upon the occurrence of the Volcker Extension Deadline, remain outstanding, then the Administrative Agent shall be entitled to exercise immediately, and without further notice to the Borrower or any other Person, any and all of the remedies set forth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elsewhere in this Agreement and the other Transaction Documents.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7" w:lineRule="exact"/>
        <w:rPr>
          <w:sz w:val="20"/>
          <w:szCs w:val="20"/>
          <w:color w:val="auto"/>
        </w:rPr>
      </w:pPr>
    </w:p>
    <w:p>
      <w:pPr>
        <w:ind w:firstLine="987"/>
        <w:spacing w:after="0" w:line="267"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Indemnities by the Borrower</w:t>
      </w:r>
      <w:r>
        <w:rPr>
          <w:rFonts w:ascii="Arial" w:cs="Arial" w:eastAsia="Arial" w:hAnsi="Arial"/>
          <w:sz w:val="17"/>
          <w:szCs w:val="17"/>
          <w:color w:val="auto"/>
        </w:rPr>
        <w:t>. (a) Without limiting any other rights which the Affected Parties, the Secured Parties, the Administrative Agent, the Lenders, the Lender Agents, the Collateral Agent, the Account Bank, the Backup Servicer, the Collateral Custodian or any of their respective Affiliates may have hereunder or under Applicable Law, the Borrower hereby agrees to indemnify the Affected Parties, the Secured Parties, Administrative Agent, the Lenders, the Lender Agents, the Collateral Agent, the Backup Servicer, the Account Bank, the Backup Servicer, the Collateral Custodian and each of their respective Affiliates, assigns, officers, directors, employees and agents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from and against any and all damages, losses, claims, liabilities and related costs and expenses, including reasonable attorneys’ fees and disbursements (all of the foregoing being collectively referred to as “</w:t>
      </w:r>
      <w:r>
        <w:rPr>
          <w:rFonts w:ascii="Arial" w:cs="Arial" w:eastAsia="Arial" w:hAnsi="Arial"/>
          <w:sz w:val="17"/>
          <w:szCs w:val="17"/>
          <w:u w:val="single" w:color="auto"/>
          <w:color w:val="auto"/>
        </w:rPr>
        <w:t>Indemnified Amounts</w:t>
      </w:r>
      <w:r>
        <w:rPr>
          <w:rFonts w:ascii="Arial" w:cs="Arial" w:eastAsia="Arial" w:hAnsi="Arial"/>
          <w:sz w:val="17"/>
          <w:szCs w:val="17"/>
          <w:color w:val="auto"/>
        </w:rPr>
        <w:t>”), awarded against or actually incurred by such Indemnified Party arising out of or as a result of this Agreement or in respect of any of the Collateral Portfolio, excluding, however, Indemnified Amounts to the extent resulting solely from (a) gross negligence, bad faith or willful misconduct on the part of an Indemnified Party as determined in a final decision by a court of competent jurisdiction or (b) Loan Assets which are uncollectible due to the Obligor’s financial inability to pay. Without limiting the foregoing, the Borrower shall indemnify each Indemnified Party for Indemnified Amounts relating to or resulting from any of the following (to the extent not resulting from the conditions set forth in (a) or (b) above):</w:t>
      </w:r>
    </w:p>
    <w:p>
      <w:pPr>
        <w:spacing w:after="0" w:line="78" w:lineRule="exact"/>
        <w:rPr>
          <w:sz w:val="20"/>
          <w:szCs w:val="20"/>
          <w:color w:val="auto"/>
        </w:rPr>
      </w:pPr>
    </w:p>
    <w:p>
      <w:pPr>
        <w:ind w:left="440" w:right="360" w:firstLine="421"/>
        <w:spacing w:after="0" w:line="275" w:lineRule="auto"/>
        <w:tabs>
          <w:tab w:leader="none" w:pos="107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Loan Asset treated as or represented by the Borrower to be an Eligible Loan Asset which is not at the applicable time an Eligible Loan Asset, or the purchase by any party or origination of any Loan Asset which violates Applicable Law;</w:t>
      </w:r>
    </w:p>
    <w:p>
      <w:pPr>
        <w:spacing w:after="0" w:line="63" w:lineRule="exact"/>
        <w:rPr>
          <w:rFonts w:ascii="Arial" w:cs="Arial" w:eastAsia="Arial" w:hAnsi="Arial"/>
          <w:sz w:val="18"/>
          <w:szCs w:val="18"/>
          <w:color w:val="auto"/>
        </w:rPr>
      </w:pPr>
    </w:p>
    <w:p>
      <w:pPr>
        <w:ind w:left="440" w:firstLine="421"/>
        <w:spacing w:after="0" w:line="262" w:lineRule="auto"/>
        <w:tabs>
          <w:tab w:leader="none" w:pos="112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reliance on any representation or warranty made or deemed made by the Borrower, the Servicer (if Solar Capital or one of its Affiliates is the Servicer) or any of their respective officers under or in connection with this Agreement or any Transaction Document, which shall have been false or incorrect in any material respect when made or deemed made or delivered;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0960"/>
          </w:cols>
          <w:pgMar w:left="460" w:top="273" w:right="479" w:bottom="1440" w:gutter="0" w:footer="0" w:header="0"/>
        </w:sectPr>
      </w:pPr>
    </w:p>
    <w:bookmarkStart w:id="223" w:name="page224"/>
    <w:bookmarkEnd w:id="223"/>
    <w:p>
      <w:pPr>
        <w:ind w:firstLine="421"/>
        <w:spacing w:after="0" w:line="284" w:lineRule="auto"/>
        <w:tabs>
          <w:tab w:leader="none" w:pos="734"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failure by the Borrower or the Servicer (if Solar Capital or one of its Affiliates is the Servicer) to comply with any term, provision or covenant contained in this Agreement or any agreement executed in connection with this Agreement, or with any Applicable Law with respect to any item of Collateral Portfolio, or the nonconformity of any item of Collateral Portfolio with any such Applicable Law;</w:t>
      </w:r>
    </w:p>
    <w:p>
      <w:pPr>
        <w:spacing w:after="0" w:line="58" w:lineRule="exact"/>
        <w:rPr>
          <w:rFonts w:ascii="Arial" w:cs="Arial" w:eastAsia="Arial" w:hAnsi="Arial"/>
          <w:sz w:val="17"/>
          <w:szCs w:val="17"/>
          <w:color w:val="auto"/>
        </w:rPr>
      </w:pPr>
    </w:p>
    <w:p>
      <w:pPr>
        <w:ind w:right="100" w:firstLine="421"/>
        <w:spacing w:after="0" w:line="262" w:lineRule="auto"/>
        <w:tabs>
          <w:tab w:leader="none" w:pos="7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failure to vest and maintain vested in the Collateral Agent, for the benefit of the Secured Parties, a first priority perfected security interest in the Collateral Portfolio, free and clear of any Lien other than Permitted Liens, whether existing at the time of the related Advance or at any time thereafter;</w:t>
      </w:r>
    </w:p>
    <w:p>
      <w:pPr>
        <w:spacing w:after="0" w:line="74" w:lineRule="exact"/>
        <w:rPr>
          <w:rFonts w:ascii="Arial" w:cs="Arial" w:eastAsia="Arial" w:hAnsi="Arial"/>
          <w:sz w:val="18"/>
          <w:szCs w:val="18"/>
          <w:color w:val="auto"/>
        </w:rPr>
      </w:pPr>
    </w:p>
    <w:p>
      <w:pPr>
        <w:jc w:val="both"/>
        <w:ind w:right="180" w:firstLine="421"/>
        <w:spacing w:after="0" w:line="262" w:lineRule="auto"/>
        <w:tabs>
          <w:tab w:leader="none" w:pos="67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failure to file, or any delay in filing, financing statements, continuation statements or other similar instruments or documents under the UCC of any applicable jurisdiction or other Applicable Law with respect to any Loan Assets included in the Collateral Portfolio or the other Portfolio Assets related thereto, whether at the time of any Advance or at any subsequent time;</w:t>
      </w:r>
    </w:p>
    <w:p>
      <w:pPr>
        <w:spacing w:after="0" w:line="74" w:lineRule="exact"/>
        <w:rPr>
          <w:rFonts w:ascii="Arial" w:cs="Arial" w:eastAsia="Arial" w:hAnsi="Arial"/>
          <w:sz w:val="18"/>
          <w:szCs w:val="18"/>
          <w:color w:val="auto"/>
        </w:rPr>
      </w:pPr>
    </w:p>
    <w:p>
      <w:pPr>
        <w:ind w:right="140" w:firstLine="421"/>
        <w:spacing w:after="0" w:line="255" w:lineRule="auto"/>
        <w:tabs>
          <w:tab w:leader="none" w:pos="7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dispute, claim, offset or defense (other than the discharge in bankruptcy of an Obligor) to the payment of any Loan Asset included in the Collateral Portfolio (including, without limitation, a defense based on such Loan Asset (or the Loan Agreement evidencing such Loan Asset) not being a legal, valid and binding obligation of such Obligor enforceable against it in accordance with its terms), or any other claim resulting from the sale of the merchandise or services related to such Collateral Portfolio or the furnishing or failure to furnish such merchandise or services;</w:t>
      </w:r>
    </w:p>
    <w:p>
      <w:pPr>
        <w:spacing w:after="0" w:line="82" w:lineRule="exact"/>
        <w:rPr>
          <w:rFonts w:ascii="Arial" w:cs="Arial" w:eastAsia="Arial" w:hAnsi="Arial"/>
          <w:sz w:val="18"/>
          <w:szCs w:val="18"/>
          <w:color w:val="auto"/>
        </w:rPr>
      </w:pPr>
    </w:p>
    <w:p>
      <w:pPr>
        <w:ind w:right="20" w:firstLine="421"/>
        <w:spacing w:after="0" w:line="262" w:lineRule="auto"/>
        <w:tabs>
          <w:tab w:leader="none" w:pos="77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failure of the Borrower or the Servicer (if Solar Capital or one of its Affiliates is the Servicer) to perform its duties or obligations in accordance with the provisions of the Transaction Documents to which it is a party or any failure by Solar Capital, the Borrower or any Affiliate thereof to perform its respective duties under any Collateral Portfolio;</w:t>
      </w:r>
    </w:p>
    <w:p>
      <w:pPr>
        <w:spacing w:after="0" w:line="74" w:lineRule="exact"/>
        <w:rPr>
          <w:rFonts w:ascii="Arial" w:cs="Arial" w:eastAsia="Arial" w:hAnsi="Arial"/>
          <w:sz w:val="18"/>
          <w:szCs w:val="18"/>
          <w:color w:val="auto"/>
        </w:rPr>
      </w:pPr>
    </w:p>
    <w:p>
      <w:pPr>
        <w:ind w:right="360" w:firstLine="421"/>
        <w:spacing w:after="0" w:line="262" w:lineRule="auto"/>
        <w:tabs>
          <w:tab w:leader="none" w:pos="8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inability to obtain any judgment in, or utilize the court or other adjudication system of, any state in which an Obligor may be located as a result of the failure of the Borrower or the Transferor to qualify to do business or file any notice or business activity report or any similar report;</w:t>
      </w:r>
    </w:p>
    <w:p>
      <w:pPr>
        <w:spacing w:after="0" w:line="74" w:lineRule="exact"/>
        <w:rPr>
          <w:rFonts w:ascii="Arial" w:cs="Arial" w:eastAsia="Arial" w:hAnsi="Arial"/>
          <w:sz w:val="18"/>
          <w:szCs w:val="18"/>
          <w:color w:val="auto"/>
        </w:rPr>
      </w:pPr>
    </w:p>
    <w:p>
      <w:pPr>
        <w:ind w:right="100" w:firstLine="421"/>
        <w:spacing w:after="0" w:line="262" w:lineRule="auto"/>
        <w:tabs>
          <w:tab w:leader="none" w:pos="7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action taken by the Borrower or the Servicer in the enforcement or collection of the Collateral Portfolio which results in any claim, suit or action of any kind pertaining to the Collateral Portfolio or which reduces or impairs the rights of the Administrative Agent, Lender Agent or Lender with respect to any Loan Asset or the value of any such Loan Asset;</w:t>
      </w:r>
    </w:p>
    <w:p>
      <w:pPr>
        <w:spacing w:after="0" w:line="74" w:lineRule="exact"/>
        <w:rPr>
          <w:rFonts w:ascii="Arial" w:cs="Arial" w:eastAsia="Arial" w:hAnsi="Arial"/>
          <w:sz w:val="18"/>
          <w:szCs w:val="18"/>
          <w:color w:val="auto"/>
        </w:rPr>
      </w:pPr>
    </w:p>
    <w:p>
      <w:pPr>
        <w:ind w:right="60" w:firstLine="421"/>
        <w:spacing w:after="0" w:line="275" w:lineRule="auto"/>
        <w:tabs>
          <w:tab w:leader="none" w:pos="67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any products liability claim or personal injury or property damage suit or other similar or related claim or action of whatever sort arising out of or in connection with the Underlying Collateral or services that are the subject of any Collateral Portfolio;</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0500"/>
          </w:cols>
          <w:pgMar w:left="900" w:top="273" w:right="499" w:bottom="1440" w:gutter="0" w:footer="0" w:header="0"/>
        </w:sectPr>
      </w:pPr>
    </w:p>
    <w:bookmarkStart w:id="224" w:name="page225"/>
    <w:bookmarkEnd w:id="224"/>
    <w:p>
      <w:pPr>
        <w:ind w:left="380" w:right="60" w:firstLine="421"/>
        <w:spacing w:after="0" w:line="275" w:lineRule="auto"/>
        <w:tabs>
          <w:tab w:leader="none" w:pos="1104"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any claim, suit or action of any kind arising out of or in connection with Environmental Laws relating to the Borrower or the Collateral Portfolio, including any vicarious liability;</w:t>
      </w:r>
    </w:p>
    <w:p>
      <w:pPr>
        <w:spacing w:after="0" w:line="63" w:lineRule="exact"/>
        <w:rPr>
          <w:rFonts w:ascii="Arial" w:cs="Arial" w:eastAsia="Arial" w:hAnsi="Arial"/>
          <w:sz w:val="18"/>
          <w:szCs w:val="18"/>
          <w:color w:val="auto"/>
        </w:rPr>
      </w:pPr>
    </w:p>
    <w:p>
      <w:pPr>
        <w:ind w:left="380" w:right="100" w:firstLine="421"/>
        <w:spacing w:after="0" w:line="275" w:lineRule="auto"/>
        <w:tabs>
          <w:tab w:leader="none" w:pos="115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failure by the Borrower to pay when due any Taxes for which the Borrower is liable, including, without limitation, sales, excise or personal property Taxes payable in connection with the Collateral Portfolio;</w:t>
      </w:r>
    </w:p>
    <w:p>
      <w:pPr>
        <w:spacing w:after="0" w:line="63" w:lineRule="exact"/>
        <w:rPr>
          <w:rFonts w:ascii="Arial" w:cs="Arial" w:eastAsia="Arial" w:hAnsi="Arial"/>
          <w:sz w:val="18"/>
          <w:szCs w:val="18"/>
          <w:color w:val="auto"/>
        </w:rPr>
      </w:pPr>
    </w:p>
    <w:p>
      <w:pPr>
        <w:ind w:left="380" w:right="100" w:firstLine="421"/>
        <w:spacing w:after="0" w:line="284" w:lineRule="auto"/>
        <w:tabs>
          <w:tab w:leader="none" w:pos="120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repayment by the Administrative Agent, the Lender Agents, the Lenders or a Secured Party of any amount previously distributed in payment of Advances or payment of Yield or Fees or any other amount due hereunder, in each case which amount the Administrative Agent, the Lender Agents, the Lenders or a Secured Party believes in good faith is required to be repaid;</w:t>
      </w:r>
    </w:p>
    <w:p>
      <w:pPr>
        <w:spacing w:after="0" w:line="58" w:lineRule="exact"/>
        <w:rPr>
          <w:rFonts w:ascii="Arial" w:cs="Arial" w:eastAsia="Arial" w:hAnsi="Arial"/>
          <w:sz w:val="17"/>
          <w:szCs w:val="17"/>
          <w:color w:val="auto"/>
        </w:rPr>
      </w:pPr>
    </w:p>
    <w:p>
      <w:pPr>
        <w:ind w:left="380" w:right="120" w:firstLine="421"/>
        <w:spacing w:after="0" w:line="275" w:lineRule="auto"/>
        <w:tabs>
          <w:tab w:leader="none" w:pos="119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commingling by the Borrower or the Servicer of payments and collections required to be remitted to the Collection Account with other funds;</w:t>
      </w:r>
    </w:p>
    <w:p>
      <w:pPr>
        <w:spacing w:after="0" w:line="63" w:lineRule="exact"/>
        <w:rPr>
          <w:rFonts w:ascii="Arial" w:cs="Arial" w:eastAsia="Arial" w:hAnsi="Arial"/>
          <w:sz w:val="18"/>
          <w:szCs w:val="18"/>
          <w:color w:val="auto"/>
        </w:rPr>
      </w:pPr>
    </w:p>
    <w:p>
      <w:pPr>
        <w:ind w:left="380" w:right="420" w:firstLine="421"/>
        <w:spacing w:after="0" w:line="262" w:lineRule="auto"/>
        <w:tabs>
          <w:tab w:leader="none" w:pos="114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investigation, litigation or proceeding related to this Agreement (or the Transaction Documents), or the use of proceeds of Advances or the Collateral Portfolio, or the administration of the Loan Assets by the Borrower or the Servicer (unless such administration is carried out by the Backup Servicer in the capacity of the Servicer, if applicable);</w:t>
      </w:r>
    </w:p>
    <w:p>
      <w:pPr>
        <w:spacing w:after="0" w:line="74" w:lineRule="exact"/>
        <w:rPr>
          <w:rFonts w:ascii="Arial" w:cs="Arial" w:eastAsia="Arial" w:hAnsi="Arial"/>
          <w:sz w:val="18"/>
          <w:szCs w:val="18"/>
          <w:color w:val="auto"/>
        </w:rPr>
      </w:pPr>
    </w:p>
    <w:p>
      <w:pPr>
        <w:ind w:left="380" w:right="60" w:firstLine="421"/>
        <w:spacing w:after="0" w:line="284" w:lineRule="auto"/>
        <w:tabs>
          <w:tab w:leader="none" w:pos="119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failure by the Borrower to give reasonably equivalent value to Transferor in consideration for the transfer by the Transferor to the Borrower of any item of Collateral Portfolio or any attempt by any Person to void or otherwise avoid any such transfer under any statutory provision or common law or equitable action, including, without limitation, any provision of the Bankruptcy Code;</w:t>
      </w:r>
    </w:p>
    <w:p>
      <w:pPr>
        <w:spacing w:after="0" w:line="58" w:lineRule="exact"/>
        <w:rPr>
          <w:rFonts w:ascii="Arial" w:cs="Arial" w:eastAsia="Arial" w:hAnsi="Arial"/>
          <w:sz w:val="17"/>
          <w:szCs w:val="17"/>
          <w:color w:val="auto"/>
        </w:rPr>
      </w:pPr>
    </w:p>
    <w:p>
      <w:pPr>
        <w:ind w:left="1240" w:hanging="439"/>
        <w:spacing w:after="0"/>
        <w:tabs>
          <w:tab w:leader="none" w:pos="124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use of the proceeds of any Advance in a manner other than as provided in this Agreement and the Transaction Documents; or</w:t>
      </w:r>
    </w:p>
    <w:p>
      <w:pPr>
        <w:spacing w:after="0" w:line="138" w:lineRule="exact"/>
        <w:rPr>
          <w:rFonts w:ascii="Arial" w:cs="Arial" w:eastAsia="Arial" w:hAnsi="Arial"/>
          <w:sz w:val="16"/>
          <w:szCs w:val="16"/>
          <w:color w:val="auto"/>
        </w:rPr>
      </w:pPr>
    </w:p>
    <w:p>
      <w:pPr>
        <w:jc w:val="both"/>
        <w:ind w:left="380" w:firstLine="421"/>
        <w:spacing w:after="0" w:line="284" w:lineRule="auto"/>
        <w:tabs>
          <w:tab w:leader="none" w:pos="129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any failure of the Borrower, the Servicer or any of their respective agents or representatives to remit to the Collection Account within two Business Days of receipt, payments and collections with respect to the Collateral Portfolio remitted to the Borrower, the Servicer or any such agent or representative (other than such a failure on the part of the Backup Servicer in the capacity of Servicer, if applicable).</w:t>
      </w:r>
    </w:p>
    <w:p>
      <w:pPr>
        <w:spacing w:after="0" w:line="58" w:lineRule="exact"/>
        <w:rPr>
          <w:rFonts w:ascii="Arial" w:cs="Arial" w:eastAsia="Arial" w:hAnsi="Arial"/>
          <w:sz w:val="17"/>
          <w:szCs w:val="17"/>
          <w:color w:val="auto"/>
        </w:rPr>
      </w:pPr>
    </w:p>
    <w:p>
      <w:pPr>
        <w:ind w:left="-60" w:firstLine="989"/>
        <w:spacing w:after="0" w:line="253" w:lineRule="auto"/>
        <w:tabs>
          <w:tab w:leader="none" w:pos="118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Any amounts subject to the indemnification provisions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be paid by the Borrower to the Administrative Agent on behalf of the applicable Indemnified Party within five Business Days following receipt by the Borrower of the Administrative Agent’s written demand therefor on behalf of the applicable Indemnified Party (and the Administrative Agent shall pay such amounts to the applicable Indemnified Party promptly after the receipt by the Administrative Agent of such amounts). The Administrative Agent, on behalf of any Indemnified Party making a request for indemnification under this </w:t>
      </w:r>
      <w:r>
        <w:rPr>
          <w:rFonts w:ascii="Arial" w:cs="Arial" w:eastAsia="Arial" w:hAnsi="Arial"/>
          <w:sz w:val="18"/>
          <w:szCs w:val="18"/>
          <w:u w:val="single" w:color="auto"/>
          <w:color w:val="auto"/>
        </w:rPr>
        <w:t>Section 9.01</w:t>
      </w:r>
      <w:r>
        <w:rPr>
          <w:rFonts w:ascii="Arial" w:cs="Arial" w:eastAsia="Arial" w:hAnsi="Arial"/>
          <w:sz w:val="18"/>
          <w:szCs w:val="18"/>
          <w:color w:val="auto"/>
        </w:rPr>
        <w:t>, shall submit to the Borrower a certificate setting forth in reasonable detail the basis for and the computations of the Indemnified Amounts with respect to which such indemnification is requested, which certificate shall be conclusive absent demonstrable error.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840"/>
          </w:cols>
          <w:pgMar w:left="520" w:top="273" w:right="539" w:bottom="1440" w:gutter="0" w:footer="0" w:header="0"/>
        </w:sectPr>
      </w:pPr>
    </w:p>
    <w:bookmarkStart w:id="225" w:name="page226"/>
    <w:bookmarkEnd w:id="225"/>
    <w:p>
      <w:pPr>
        <w:ind w:right="40" w:firstLine="989"/>
        <w:spacing w:after="0" w:line="254" w:lineRule="auto"/>
        <w:tabs>
          <w:tab w:leader="none" w:pos="1230" w:val="left"/>
        </w:tabs>
        <w:numPr>
          <w:ilvl w:val="0"/>
          <w:numId w:val="2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If for any reason the indemnification provided above in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is unavailable to the Indemnified Party or is insufficient to hold an Indemnified Party harmless in respect of any losses, claims, damages or liabilities, then the Borrower shall contribute to the amount paid or payable by such Indemnified Party as a result of such losses, claims, damages or liabilities in such proportion as is appropriate to reflect not only the relative benefits received by such Indemnified Party on the one hand and the Borrower on the other hand but also the relative fault of such Indemnified Party as well as any other relevant equitable considerations;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contribute in respect of any Indemnified Amounts excluded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200" w:firstLine="989"/>
        <w:spacing w:after="0" w:line="258" w:lineRule="auto"/>
        <w:tabs>
          <w:tab w:leader="none" w:pos="12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If the Borrower has made any payments in respect of Indemnified Amounts to the Administrative Agent on behalf of an Indemnified Party pursuant to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such Indemnified Party thereafter collects any of such amounts from others, such Indemnified Party will promptly repay such amounts collected to the Borrower in an amount equal to the amount it has collected from others in respect of such Indemnified Amounts, without interest.</w:t>
      </w:r>
    </w:p>
    <w:p>
      <w:pPr>
        <w:spacing w:after="0" w:line="77" w:lineRule="exact"/>
        <w:rPr>
          <w:rFonts w:ascii="Arial" w:cs="Arial" w:eastAsia="Arial" w:hAnsi="Arial"/>
          <w:sz w:val="18"/>
          <w:szCs w:val="18"/>
          <w:color w:val="auto"/>
        </w:rPr>
      </w:pPr>
    </w:p>
    <w:p>
      <w:pPr>
        <w:ind w:right="120" w:firstLine="989"/>
        <w:spacing w:after="0" w:line="262" w:lineRule="auto"/>
        <w:tabs>
          <w:tab w:leader="none" w:pos="123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obligations of the Borrower under this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shall survive the resignation or removal of the Administrative Agent, the Lenders, the Lender Agents, the Servicer, the Collateral Agent, the Account Bank, the Backup Servicer or the Collateral Custodian and the termination of this Agreement.</w:t>
      </w:r>
    </w:p>
    <w:p>
      <w:pPr>
        <w:spacing w:after="0" w:line="182" w:lineRule="exact"/>
        <w:rPr>
          <w:sz w:val="20"/>
          <w:szCs w:val="20"/>
          <w:color w:val="auto"/>
        </w:rPr>
      </w:pPr>
    </w:p>
    <w:p>
      <w:pPr>
        <w:ind w:firstLine="987"/>
        <w:spacing w:after="0" w:line="25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Indemnities by Servicer</w:t>
      </w:r>
      <w:r>
        <w:rPr>
          <w:rFonts w:ascii="Arial" w:cs="Arial" w:eastAsia="Arial" w:hAnsi="Arial"/>
          <w:sz w:val="18"/>
          <w:szCs w:val="18"/>
          <w:color w:val="auto"/>
        </w:rPr>
        <w:t>. (a) Without limiting any other rights which any Indemnified Party may have hereunder or under Applicable Law, the Servicer hereby agrees to indemnify each Indemnified Party from and against any and all Indemnified Amounts, awarded against or incurred by any Indemnified Party as a consequence of any of the following, excluding, however, Indemnified Amounts to the extent resulting from gross negligence, bad faith or willful misconduct on the part of any Indemnified Party claiming indemnification hereunder as determined in a final decision by a court of competent jurisdiction:</w:t>
      </w:r>
    </w:p>
    <w:p>
      <w:pPr>
        <w:spacing w:after="0" w:line="83" w:lineRule="exact"/>
        <w:rPr>
          <w:sz w:val="20"/>
          <w:szCs w:val="20"/>
          <w:color w:val="auto"/>
        </w:rPr>
      </w:pPr>
    </w:p>
    <w:p>
      <w:pPr>
        <w:ind w:left="440" w:firstLine="421"/>
        <w:spacing w:after="0" w:line="275" w:lineRule="auto"/>
        <w:tabs>
          <w:tab w:leader="none" w:pos="107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inclusion, in any computations made by it in connection with any Borrowing Base Certificate or other report prepared by it hereunder, of any Loan Assets which were not Eligible Loan Assets as of the date of any such computation;</w:t>
      </w:r>
    </w:p>
    <w:p>
      <w:pPr>
        <w:spacing w:after="0" w:line="63" w:lineRule="exact"/>
        <w:rPr>
          <w:rFonts w:ascii="Arial" w:cs="Arial" w:eastAsia="Arial" w:hAnsi="Arial"/>
          <w:sz w:val="18"/>
          <w:szCs w:val="18"/>
          <w:color w:val="auto"/>
        </w:rPr>
      </w:pPr>
    </w:p>
    <w:p>
      <w:pPr>
        <w:ind w:left="440" w:right="80" w:firstLine="421"/>
        <w:spacing w:after="0" w:line="258" w:lineRule="auto"/>
        <w:tabs>
          <w:tab w:leader="none" w:pos="112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reliance on any representation or warranty made or deemed made by the Servicer or any of its officers under or in connection with this Agreement or any other Transaction Document, any Servicing Report, Servicer’s Certificate or any other information or report delivered by or on behalf of the Servicer pursuant hereto, which shall have been false, incorrect or misleading in any respect when made or deemed made or delivered;</w:t>
      </w:r>
    </w:p>
    <w:p>
      <w:pPr>
        <w:spacing w:after="0" w:line="77" w:lineRule="exact"/>
        <w:rPr>
          <w:rFonts w:ascii="Arial" w:cs="Arial" w:eastAsia="Arial" w:hAnsi="Arial"/>
          <w:sz w:val="18"/>
          <w:szCs w:val="18"/>
          <w:color w:val="auto"/>
        </w:rPr>
      </w:pPr>
    </w:p>
    <w:p>
      <w:pPr>
        <w:jc w:val="both"/>
        <w:ind w:left="440" w:right="280" w:firstLine="421"/>
        <w:spacing w:after="0" w:line="262" w:lineRule="auto"/>
        <w:tabs>
          <w:tab w:leader="none" w:pos="117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failure by the Servicer to comply with (A) any term, provision or covenant contained in this Agreement or any other Transaction Document, or any other agreement executed in connection with this Agreement, or (B) any Applicable Law applicable to it with respect to any Portfolio Assets;</w:t>
      </w:r>
    </w:p>
    <w:p>
      <w:pPr>
        <w:spacing w:after="0" w:line="74" w:lineRule="exact"/>
        <w:rPr>
          <w:rFonts w:ascii="Arial" w:cs="Arial" w:eastAsia="Arial" w:hAnsi="Arial"/>
          <w:sz w:val="18"/>
          <w:szCs w:val="18"/>
          <w:color w:val="auto"/>
        </w:rPr>
      </w:pPr>
    </w:p>
    <w:p>
      <w:pPr>
        <w:ind w:left="1160" w:hanging="299"/>
        <w:spacing w:after="0"/>
        <w:tabs>
          <w:tab w:leader="none" w:pos="11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litigation, proceedings or investigation against the Servicer;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940"/>
          </w:cols>
          <w:pgMar w:left="460" w:top="273" w:right="499" w:bottom="1440" w:gutter="0" w:footer="0" w:header="0"/>
        </w:sectPr>
      </w:pPr>
    </w:p>
    <w:bookmarkStart w:id="226" w:name="page227"/>
    <w:bookmarkEnd w:id="226"/>
    <w:p>
      <w:pPr>
        <w:ind w:left="440" w:right="200" w:firstLine="421"/>
        <w:spacing w:after="0" w:line="262" w:lineRule="auto"/>
        <w:tabs>
          <w:tab w:leader="none" w:pos="1115"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any action or inaction by the Servicer that causes the Collateral Agent, for the benefit of the Secured Parties, not to have a first priority perfected security interest in the Collateral Portfolio, free and clear of any Lien other than Permitted Liens, whether existing at the time of the related Advance or any time thereafter;</w:t>
      </w:r>
    </w:p>
    <w:p>
      <w:pPr>
        <w:spacing w:after="0" w:line="74" w:lineRule="exact"/>
        <w:rPr>
          <w:rFonts w:ascii="Arial" w:cs="Arial" w:eastAsia="Arial" w:hAnsi="Arial"/>
          <w:sz w:val="18"/>
          <w:szCs w:val="18"/>
          <w:color w:val="auto"/>
        </w:rPr>
      </w:pPr>
    </w:p>
    <w:p>
      <w:pPr>
        <w:ind w:left="1160" w:hanging="299"/>
        <w:spacing w:after="0"/>
        <w:tabs>
          <w:tab w:leader="none" w:pos="11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commingling by the Servicer of payments and collections required to be remitted to the Collection Account with other funds;</w:t>
      </w:r>
    </w:p>
    <w:p>
      <w:pPr>
        <w:spacing w:after="0" w:line="127" w:lineRule="exact"/>
        <w:rPr>
          <w:rFonts w:ascii="Arial" w:cs="Arial" w:eastAsia="Arial" w:hAnsi="Arial"/>
          <w:sz w:val="17"/>
          <w:szCs w:val="17"/>
          <w:color w:val="auto"/>
        </w:rPr>
      </w:pPr>
    </w:p>
    <w:p>
      <w:pPr>
        <w:ind w:left="440" w:right="180" w:firstLine="421"/>
        <w:spacing w:after="0" w:line="284" w:lineRule="auto"/>
        <w:tabs>
          <w:tab w:leader="none" w:pos="1214" w:val="left"/>
        </w:tabs>
        <w:numPr>
          <w:ilvl w:val="0"/>
          <w:numId w:val="233"/>
        </w:numPr>
        <w:rPr>
          <w:rFonts w:ascii="Arial" w:cs="Arial" w:eastAsia="Arial" w:hAnsi="Arial"/>
          <w:sz w:val="17"/>
          <w:szCs w:val="17"/>
          <w:color w:val="auto"/>
        </w:rPr>
      </w:pPr>
      <w:r>
        <w:rPr>
          <w:rFonts w:ascii="Arial" w:cs="Arial" w:eastAsia="Arial" w:hAnsi="Arial"/>
          <w:sz w:val="17"/>
          <w:szCs w:val="17"/>
          <w:color w:val="auto"/>
        </w:rPr>
        <w:t xml:space="preserve">any failure of the Servicer or any of its agents or representatives (including, without limitation, agents, representatives and employees of such Servicer acting pursuant to authority granted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hereof) to remit to Collection Account, payments and collections with respect to Loan Assets remitted to the Servicer or any such agent or representative within two Business Days of receipt;</w:t>
      </w:r>
    </w:p>
    <w:p>
      <w:pPr>
        <w:spacing w:after="0" w:line="58" w:lineRule="exact"/>
        <w:rPr>
          <w:rFonts w:ascii="Arial" w:cs="Arial" w:eastAsia="Arial" w:hAnsi="Arial"/>
          <w:sz w:val="17"/>
          <w:szCs w:val="17"/>
          <w:color w:val="auto"/>
        </w:rPr>
      </w:pPr>
    </w:p>
    <w:p>
      <w:pPr>
        <w:ind w:left="440" w:right="20" w:firstLine="421"/>
        <w:spacing w:after="0" w:line="262" w:lineRule="auto"/>
        <w:tabs>
          <w:tab w:leader="none" w:pos="12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Servicer or any of its agents or representatives (including, without limitation, agents, representatives and employees of such Servicer acting pursuant to authority granted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hereof) permits or causes or authorizes the withdraw from the Collection Account or the URCA Account of amounts not expressly authorized for withdrawal hereunder;</w:t>
      </w:r>
    </w:p>
    <w:p>
      <w:pPr>
        <w:spacing w:after="0" w:line="74" w:lineRule="exact"/>
        <w:rPr>
          <w:rFonts w:ascii="Arial" w:cs="Arial" w:eastAsia="Arial" w:hAnsi="Arial"/>
          <w:sz w:val="18"/>
          <w:szCs w:val="18"/>
          <w:color w:val="auto"/>
        </w:rPr>
      </w:pPr>
    </w:p>
    <w:p>
      <w:pPr>
        <w:ind w:left="440" w:right="220" w:firstLine="421"/>
        <w:spacing w:after="0" w:line="275" w:lineRule="auto"/>
        <w:tabs>
          <w:tab w:leader="none" w:pos="11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failure by the Servicer to perform any of its duties or obligations in accordance with the provisions of this Agreement or any other Transaction Document or errors or omissions related to such duties;</w:t>
      </w:r>
    </w:p>
    <w:p>
      <w:pPr>
        <w:spacing w:after="0" w:line="63" w:lineRule="exact"/>
        <w:rPr>
          <w:rFonts w:ascii="Arial" w:cs="Arial" w:eastAsia="Arial" w:hAnsi="Arial"/>
          <w:sz w:val="18"/>
          <w:szCs w:val="18"/>
          <w:color w:val="auto"/>
        </w:rPr>
      </w:pPr>
    </w:p>
    <w:p>
      <w:pPr>
        <w:ind w:left="440" w:right="440" w:firstLine="421"/>
        <w:spacing w:after="0" w:line="339" w:lineRule="auto"/>
        <w:tabs>
          <w:tab w:leader="none" w:pos="1115" w:val="left"/>
        </w:tabs>
        <w:numPr>
          <w:ilvl w:val="0"/>
          <w:numId w:val="233"/>
        </w:numPr>
        <w:rPr>
          <w:rFonts w:ascii="Arial" w:cs="Arial" w:eastAsia="Arial" w:hAnsi="Arial"/>
          <w:sz w:val="16"/>
          <w:szCs w:val="16"/>
          <w:color w:val="auto"/>
        </w:rPr>
      </w:pPr>
      <w:r>
        <w:rPr>
          <w:rFonts w:ascii="Arial" w:cs="Arial" w:eastAsia="Arial" w:hAnsi="Arial"/>
          <w:sz w:val="16"/>
          <w:szCs w:val="16"/>
          <w:color w:val="auto"/>
        </w:rPr>
        <w:t>failure or delay in assisting a successor Servicer in assuming each and all of the Servicer’s obligations to service and administer the Collateral Portfolio, or failure or delay in complying with instructions from the Administrative Agent with respect thereto; or</w:t>
      </w:r>
    </w:p>
    <w:p>
      <w:pPr>
        <w:spacing w:after="0" w:line="17" w:lineRule="exact"/>
        <w:rPr>
          <w:rFonts w:ascii="Arial" w:cs="Arial" w:eastAsia="Arial" w:hAnsi="Arial"/>
          <w:sz w:val="16"/>
          <w:szCs w:val="16"/>
          <w:color w:val="auto"/>
        </w:rPr>
      </w:pPr>
    </w:p>
    <w:p>
      <w:pPr>
        <w:ind w:left="440" w:firstLine="421"/>
        <w:spacing w:after="0" w:line="275" w:lineRule="auto"/>
        <w:tabs>
          <w:tab w:leader="none" w:pos="116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any of the events or facts giving rise to a breach of any of the Servicer’s representations, warranties, agreements or covenants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this Agreement.</w:t>
      </w:r>
    </w:p>
    <w:p>
      <w:pPr>
        <w:spacing w:after="0" w:line="63" w:lineRule="exact"/>
        <w:rPr>
          <w:rFonts w:ascii="Arial" w:cs="Arial" w:eastAsia="Arial" w:hAnsi="Arial"/>
          <w:sz w:val="18"/>
          <w:szCs w:val="18"/>
          <w:color w:val="auto"/>
        </w:rPr>
      </w:pPr>
    </w:p>
    <w:p>
      <w:pPr>
        <w:ind w:firstLine="989"/>
        <w:spacing w:after="0" w:line="253" w:lineRule="auto"/>
        <w:tabs>
          <w:tab w:leader="none" w:pos="124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 xml:space="preserve">Any amounts subject to the indemnification provisions of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shall be paid by the Servicer to the Administrative Agent on behalf of the applicable Indemnified Party within five Business Days following receipt by the Servicer of the Administrative Agent’s written demand therefor on behalf of the applicable Indemnified Party (and the Administrative Agent shall pay such amounts to the applicable Indemnified Party promptly after the receipt by the Administrative Agent of such amounts). The Administrative Agent, on behalf of any Indemnified Party making a request for indemnification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shall submit to the Servicer a certificate setting forth in reasonable detail the basis for and the computations of the Indemnified Amounts with respect to which such indemnification is requested, which certificate shall be conclusive absent demonstrable error.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960"/>
          </w:cols>
          <w:pgMar w:left="460" w:top="273" w:right="479" w:bottom="1440" w:gutter="0" w:footer="0" w:header="0"/>
        </w:sectPr>
      </w:pPr>
    </w:p>
    <w:bookmarkStart w:id="227" w:name="page228"/>
    <w:bookmarkEnd w:id="227"/>
    <w:p>
      <w:pPr>
        <w:ind w:right="80" w:firstLine="989"/>
        <w:spacing w:after="0" w:line="254" w:lineRule="auto"/>
        <w:tabs>
          <w:tab w:leader="none" w:pos="1230"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If for any reason the indemnification provided above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is unavailable to the Indemnified Party or is insufficient to hold an Indemnified Party harmless in respect of any losses, claims, damages or liabilities, then the Servicer shall contribute to the amount paid or payable by such Indemnified Party as a result of such losses, claims, damages or liabilities in such proportion as is appropriate to reflect not only the relative benefits received by such Indemnified Party on the one hand and the Servicer on the other hand but also the relative fault of such Indemnified Party as well as any other relevant equitable considerations;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Servicer shall not be required to contribute in respect of any Indemnified Amounts excluded in </w:t>
      </w:r>
      <w:r>
        <w:rPr>
          <w:rFonts w:ascii="Arial" w:cs="Arial" w:eastAsia="Arial" w:hAnsi="Arial"/>
          <w:sz w:val="18"/>
          <w:szCs w:val="18"/>
          <w:u w:val="single" w:color="auto"/>
          <w:color w:val="auto"/>
        </w:rPr>
        <w:t>Section 9.02(a)</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220" w:firstLine="989"/>
        <w:spacing w:after="0" w:line="258" w:lineRule="auto"/>
        <w:tabs>
          <w:tab w:leader="none" w:pos="12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If the Servicer has made any payments in respect of Indemnified Amounts to the Administrative Agent on behalf of an Indemnified Party pursuant to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such Indemnified Party thereafter collects any of such amounts from others, such Indemnified Party will promptly repay such amounts collected to the Servicer in an amount equal to the amount it has collected from others in respect of such Indemnified Amounts, without interest.</w:t>
      </w:r>
    </w:p>
    <w:p>
      <w:pPr>
        <w:spacing w:after="0" w:line="77" w:lineRule="exact"/>
        <w:rPr>
          <w:rFonts w:ascii="Arial" w:cs="Arial" w:eastAsia="Arial" w:hAnsi="Arial"/>
          <w:sz w:val="18"/>
          <w:szCs w:val="18"/>
          <w:color w:val="auto"/>
        </w:rPr>
      </w:pPr>
    </w:p>
    <w:p>
      <w:pPr>
        <w:ind w:right="120" w:firstLine="989"/>
        <w:spacing w:after="0" w:line="275" w:lineRule="auto"/>
        <w:tabs>
          <w:tab w:leader="none" w:pos="123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Servicer shall have no liability for making indemnification hereunder to the extent any such indemnification constitutes recourse for uncollectible or uncollected Loan Assets.</w:t>
      </w:r>
    </w:p>
    <w:p>
      <w:pPr>
        <w:spacing w:after="0" w:line="63" w:lineRule="exact"/>
        <w:rPr>
          <w:rFonts w:ascii="Arial" w:cs="Arial" w:eastAsia="Arial" w:hAnsi="Arial"/>
          <w:sz w:val="18"/>
          <w:szCs w:val="18"/>
          <w:color w:val="auto"/>
        </w:rPr>
      </w:pPr>
    </w:p>
    <w:p>
      <w:pPr>
        <w:jc w:val="both"/>
        <w:ind w:right="500" w:firstLine="989"/>
        <w:spacing w:after="0" w:line="262" w:lineRule="auto"/>
        <w:tabs>
          <w:tab w:leader="none" w:pos="121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The obligations of the Servicer under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shall survive the resignation or removal of the Administrative Agent, the Lenders, the Lender Agents, the Collateral Agent, the Account Bank, the Backup Servicer or the Collateral Custodian and the termination of this Agreement.</w:t>
      </w:r>
    </w:p>
    <w:p>
      <w:pPr>
        <w:spacing w:after="0" w:line="74" w:lineRule="exact"/>
        <w:rPr>
          <w:rFonts w:ascii="Arial" w:cs="Arial" w:eastAsia="Arial" w:hAnsi="Arial"/>
          <w:sz w:val="18"/>
          <w:szCs w:val="18"/>
          <w:color w:val="auto"/>
        </w:rPr>
      </w:pPr>
    </w:p>
    <w:p>
      <w:pPr>
        <w:ind w:left="1240" w:hanging="251"/>
        <w:spacing w:after="0"/>
        <w:tabs>
          <w:tab w:leader="none" w:pos="12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Any indemnification pursuant to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shall not be payable from the Collateral Portfolio.</w:t>
      </w:r>
    </w:p>
    <w:p>
      <w:pPr>
        <w:spacing w:after="0" w:line="223" w:lineRule="exact"/>
        <w:rPr>
          <w:sz w:val="20"/>
          <w:szCs w:val="20"/>
          <w:color w:val="auto"/>
        </w:rPr>
      </w:pPr>
    </w:p>
    <w:p>
      <w:pPr>
        <w:jc w:val="both"/>
        <w:ind w:right="40" w:firstLine="987"/>
        <w:spacing w:after="0" w:line="262" w:lineRule="auto"/>
        <w:rPr>
          <w:sz w:val="20"/>
          <w:szCs w:val="20"/>
          <w:color w:val="auto"/>
        </w:rPr>
      </w:pPr>
      <w:r>
        <w:rPr>
          <w:rFonts w:ascii="Arial" w:cs="Arial" w:eastAsia="Arial" w:hAnsi="Arial"/>
          <w:sz w:val="18"/>
          <w:szCs w:val="18"/>
          <w:color w:val="auto"/>
        </w:rPr>
        <w:t xml:space="preserve">Each applicable Indemnified Party shall deliver to the Indemnifying Party under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9.02</w:t>
      </w:r>
      <w:r>
        <w:rPr>
          <w:rFonts w:ascii="Arial" w:cs="Arial" w:eastAsia="Arial" w:hAnsi="Arial"/>
          <w:sz w:val="18"/>
          <w:szCs w:val="18"/>
          <w:color w:val="auto"/>
        </w:rPr>
        <w:t>, within a reasonable time after such Indemnified Party’s receipt thereof, copies of all notices and documents (including court papers) received by such Indemnified Party relating to the claim giving rise to the Indemnified Amounts.</w:t>
      </w:r>
    </w:p>
    <w:p>
      <w:pPr>
        <w:spacing w:after="0" w:line="182" w:lineRule="exact"/>
        <w:rPr>
          <w:sz w:val="20"/>
          <w:szCs w:val="20"/>
          <w:color w:val="auto"/>
        </w:rPr>
      </w:pPr>
    </w:p>
    <w:p>
      <w:pPr>
        <w:ind w:firstLine="987"/>
        <w:spacing w:after="0" w:line="267"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Legal Proceedings</w:t>
      </w:r>
      <w:r>
        <w:rPr>
          <w:rFonts w:ascii="Arial" w:cs="Arial" w:eastAsia="Arial" w:hAnsi="Arial"/>
          <w:sz w:val="17"/>
          <w:szCs w:val="17"/>
          <w:color w:val="auto"/>
        </w:rPr>
        <w:t>. In the event an Indemnified Party becomes involved in any action, claim, or legal, governmental or administrative proceeding (an “Action”) for which it seeks indemnification hereunder, the Indemnified Party shall promptly notify the other party or parties against whom it seeks indemnification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of the nature and particulars of the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its failure to do so shall not relieve the Indemnifying Party of its obligations hereunder except to the extent such failure has a material adverse effect on the Indemnifying Party. Upon written notice to the Indemnified Party acknowledging in writing that the indemnification provided hereunder applies to the Indemnified Party in connection with the Action (subject to the exclusion in the first sentence of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the first sentence of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9.02(d)</w:t>
      </w:r>
      <w:r>
        <w:rPr>
          <w:rFonts w:ascii="Arial" w:cs="Arial" w:eastAsia="Arial" w:hAnsi="Arial"/>
          <w:sz w:val="17"/>
          <w:szCs w:val="17"/>
          <w:color w:val="auto"/>
        </w:rPr>
        <w:t xml:space="preserve">, as applicable), the Indemnifying Party may assume the defense of the Action at its expense with counsel reasonably acceptable to the Indemnified Party. The Indemnified Party shall have the right to retain separate counsel in connection with the Action, and the Indemnifying Party shall not be liable for the legal fees and expenses of the Indemnified Party after the Indemnifying Party has done so;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Indemnified Party determines in good faith that there may be a conflict between the positions of the Indemnified Party and the Indemnifying Party in connection with the Action, or that the Indemnifying Party is not conducting the defense of the Action in a manner reasonably protective of the interests of the Indemnified Party, the reasonable legal fees and expenses of the Indemnified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880"/>
          </w:cols>
          <w:pgMar w:left="460" w:top="273" w:right="559" w:bottom="1440" w:gutter="0" w:footer="0" w:header="0"/>
        </w:sectPr>
      </w:pPr>
    </w:p>
    <w:bookmarkStart w:id="228" w:name="page229"/>
    <w:bookmarkEnd w:id="228"/>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Party shall be paid by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Indemnifying Party shall not, in connection with any one Action or separate but substantially similar or related Actions in the same jurisdiction arising out of the same general allegations or circumstances, be liable for the fees or expenses of more than one separate firm of attorneys (and any required local counsel) for such Indemnified Party, which firm (and local counsel, if any) shall be designated in writing to the Indemnifying Party by the Indemnified Party. If the Indemnifying Party elects to assume the defense of the Action, it shall have full control over the conduct of such defense;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and its counsel shall, as reasonably requested by the Indemnified Party or its counsel, consult with and keep them informed with respect to the conduct of such defense. The Indemnifying Party shall not settle an Action without the prior written approval of the Indemnified Party unless such settlement provides for the full and unconditional release of the Indemnified Party from all liability in connection with the Action. The Indemnified Party shall reasonably cooperate with the Indemnifying Party in connection with the defense of the Action.</w:t>
      </w:r>
    </w:p>
    <w:p>
      <w:pPr>
        <w:spacing w:after="0" w:line="178" w:lineRule="exact"/>
        <w:rPr>
          <w:sz w:val="20"/>
          <w:szCs w:val="20"/>
          <w:color w:val="auto"/>
        </w:rPr>
      </w:pPr>
    </w:p>
    <w:p>
      <w:pPr>
        <w:ind w:right="80" w:firstLine="987"/>
        <w:spacing w:after="0" w:line="310"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After-Tax Basis</w:t>
      </w:r>
      <w:r>
        <w:rPr>
          <w:rFonts w:ascii="Arial" w:cs="Arial" w:eastAsia="Arial" w:hAnsi="Arial"/>
          <w:sz w:val="16"/>
          <w:szCs w:val="16"/>
          <w:color w:val="auto"/>
        </w:rPr>
        <w:t xml:space="preserve">. Indemnification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shall be in an amount necessary to make the Indemnified Party whole after taking into account any Tax consequences to the Indemnified Party of the receipt of the indemnity provided hereunder, including the effect of such Tax or refund on the amount of Tax measured by net income or profits that is or was payable by the Indemnified Party.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THE ADMINISTRATIVE AGENT AND THE LENDER AGENTS</w:t>
      </w:r>
    </w:p>
    <w:p>
      <w:pPr>
        <w:spacing w:after="0" w:line="22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The Administrative Agent</w:t>
      </w:r>
      <w:r>
        <w:rPr>
          <w:rFonts w:ascii="Arial" w:cs="Arial" w:eastAsia="Arial" w:hAnsi="Arial"/>
          <w:sz w:val="18"/>
          <w:szCs w:val="18"/>
          <w:color w:val="auto"/>
        </w:rPr>
        <w:t>.</w:t>
      </w:r>
    </w:p>
    <w:p>
      <w:pPr>
        <w:spacing w:after="0" w:line="115" w:lineRule="exact"/>
        <w:rPr>
          <w:sz w:val="20"/>
          <w:szCs w:val="20"/>
          <w:color w:val="auto"/>
        </w:rPr>
      </w:pPr>
    </w:p>
    <w:p>
      <w:pPr>
        <w:ind w:firstLine="989"/>
        <w:spacing w:after="0" w:line="285" w:lineRule="auto"/>
        <w:tabs>
          <w:tab w:leader="none" w:pos="1230"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Appointment</w:t>
      </w:r>
      <w:r>
        <w:rPr>
          <w:rFonts w:ascii="Arial" w:cs="Arial" w:eastAsia="Arial" w:hAnsi="Arial"/>
          <w:sz w:val="16"/>
          <w:szCs w:val="16"/>
          <w:color w:val="auto"/>
        </w:rPr>
        <w:t>. Each Lender Agent and each Secured Party hereby appoints and authorizes the Administrative Agent as its agent hereunder and hereby further authorizes the Administrative Agent to appoint additional agents to act on its behalf and for the benefit of each Lender Agent and each Secured Party. Each Lender Agent and each Secured Party further authorizes the Administrative Agent to take such action as agent on its behalf and to exercise such powers under this Agreement and the other Transaction Documents as are delegated to the Administrative Agent by the terms hereof and thereof, together with such powers as are reasonably incidental thereto. Notwithstanding any provision to the contrary contained elsewhere in this Agreement or in any other Transaction Document, the Administrative Agent shall not have any duties or responsibilities, except those expressly set forth in this Agreement, nor shall the Administrative Agent have or be deemed to have any fiduciary relationship with any Lender or Lender Agent, and no implied covenants, functions, responsibilities, duties, obligations or liabilities shall be read into this Agreement or any other Transaction Document or otherwise exist against the Administrative Agent. Without limiting the generality of the foregoing sentence, the use of the term “agent” in this Agreement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60"/>
          </w:cols>
          <w:pgMar w:left="460" w:top="273" w:right="479" w:bottom="1440" w:gutter="0" w:footer="0" w:header="0"/>
        </w:sectPr>
      </w:pPr>
    </w:p>
    <w:bookmarkStart w:id="229" w:name="page230"/>
    <w:bookmarkEnd w:id="229"/>
    <w:p>
      <w:pPr>
        <w:ind w:firstLine="989"/>
        <w:spacing w:after="0" w:line="310" w:lineRule="auto"/>
        <w:tabs>
          <w:tab w:leader="none" w:pos="124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Delegation of Duties</w:t>
      </w:r>
      <w:r>
        <w:rPr>
          <w:rFonts w:ascii="Arial" w:cs="Arial" w:eastAsia="Arial" w:hAnsi="Arial"/>
          <w:sz w:val="16"/>
          <w:szCs w:val="16"/>
          <w:color w:val="auto"/>
        </w:rPr>
        <w:t>. The Administrative Agent may execute any of its duties under this Agreement or any other Transaction Document by or through agents, employees or attorneys in fact and shall be entitled to advice of counsel concerning all matters pertaining to such duties. The Administrative Agent shall not be responsible for the negligence or misconduct of any agent or attorney in fact that it selects with reasonable care</w:t>
      </w:r>
    </w:p>
    <w:p>
      <w:pPr>
        <w:spacing w:after="0" w:line="39" w:lineRule="exact"/>
        <w:rPr>
          <w:rFonts w:ascii="Arial" w:cs="Arial" w:eastAsia="Arial" w:hAnsi="Arial"/>
          <w:sz w:val="16"/>
          <w:szCs w:val="16"/>
          <w:color w:val="auto"/>
        </w:rPr>
      </w:pPr>
    </w:p>
    <w:p>
      <w:pPr>
        <w:ind w:firstLine="989"/>
        <w:spacing w:after="0" w:line="284" w:lineRule="auto"/>
        <w:tabs>
          <w:tab w:leader="none" w:pos="123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Administrative Agent’s Reliance, Etc.</w:t>
      </w:r>
      <w:r>
        <w:rPr>
          <w:rFonts w:ascii="Arial" w:cs="Arial" w:eastAsia="Arial" w:hAnsi="Arial"/>
          <w:sz w:val="16"/>
          <w:szCs w:val="16"/>
          <w:color w:val="auto"/>
        </w:rPr>
        <w:t xml:space="preserve"> Neither the Administrative Agent nor any of its directors, officers, agents or employees shall be liable for any action taken or omitted to be taken by it or them as Administrative Agent under or in connection with this Agreement or any of the other Transaction Documents, except for its or their own gross negligence or willful misconduct as determined in a final decision by a court of competent jurisdiction. Each Lender, Lender Agent and each Secured Party hereby waives any and all claims against the Administrative Agent or any of its Affiliates for any action taken or omitted to be taken by the Administrative Agent or any of its Affiliates under or in connection with this Agreement or any of the other Transaction Documents, except for its or their own gross negligence or willful misconduct as determined in a final decision by a court of competent jurisdiction. Without limiting the foregoing, the Administrative Agent: (i) may consult with legal counsel (including counsel for the Borrower or the Transferor), independent public accountants and other experts selected by it and shall not be liable for any action taken or omitted to be taken in good faith by it in accordance with the advice of such counsel, accountants or experts; (ii) makes no warranty or representation and shall not be responsible for any statements, warranties or representations made in or in connection with this Agreement; (iii) shall not have any duty to ascertain or to inquire as to the performance or observance of any of the terms, covenants or conditions of this Agreement or any of the other Transaction Documents on the part of the Borrower, the Transferor, or the Servicer or to inspect the property (including the books and records) of the Borrower, the Transferor, or the Servicer; (iv) shall not be responsible for the due execution, legality, validity, enforceability, genuineness, sufficiency or value of this Agreement, any of the other Transaction Documents or any other instrument or document furnished pursuant hereto or thereto; and (v) shall incur no liability under or in respect of this Agreement or any of the other Transaction Documents by acting upon any notice (including notice by telephone), consent, certificate or other instrument or writing (which may be by facsimile) believed by it to be genuine and signed or sent by the proper party or parties.</w:t>
      </w:r>
    </w:p>
    <w:p>
      <w:pPr>
        <w:spacing w:after="0" w:line="63" w:lineRule="exact"/>
        <w:rPr>
          <w:rFonts w:ascii="Arial" w:cs="Arial" w:eastAsia="Arial" w:hAnsi="Arial"/>
          <w:sz w:val="16"/>
          <w:szCs w:val="16"/>
          <w:color w:val="auto"/>
        </w:rPr>
      </w:pPr>
    </w:p>
    <w:p>
      <w:pPr>
        <w:ind w:right="20" w:firstLine="989"/>
        <w:spacing w:after="0" w:line="286" w:lineRule="auto"/>
        <w:tabs>
          <w:tab w:leader="none" w:pos="124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Actions by Administrative Agent</w:t>
      </w:r>
      <w:r>
        <w:rPr>
          <w:rFonts w:ascii="Arial" w:cs="Arial" w:eastAsia="Arial" w:hAnsi="Arial"/>
          <w:sz w:val="16"/>
          <w:szCs w:val="16"/>
          <w:color w:val="auto"/>
        </w:rPr>
        <w:t xml:space="preserve">. The Administrative Agent shall be fully justified in failing or refusing to take any action under this Agreement or any other Transaction Document unless it shall first receive such advice or concurrence of any Lender Agent as it deems appropriate and, if it so requests, it shall first be indemnified to its satisfaction by the Lender Agents and Lenders (other than the Conduit Lenders) against any and all liability and expense which may be incurred by it by reason of taking or continuing to take any such action. The Administrative Agent shall in all cases be fully protected in acting, or in refraining from acting, under this Agreement or any other Transaction Document in accordance with a request or consent of the Lender Agent or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to the contrary herein, the Administrative Agent shall not be required to take any action hereunder if the taking of such action, in the reasonable determination of the Administrative Agent, shall be in violation of any Applicable Law or contrary to any provision of this Agreement or shall expose the Administrative Agent to liability hereunder or otherwise. In the event the Administrative Agent requests the consent of a Lender Agent or Lender pursuant to the foregoing provisions and the Administrative Agent does not receive a consent (either positive or negative) from such Person within ten Business Days of such Person’s receipt of such request, then such Lender or Lender Agent shall be deemed to have declined to consent to the relevant action.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60"/>
          </w:cols>
          <w:pgMar w:left="460" w:top="273" w:right="479" w:bottom="1440" w:gutter="0" w:footer="0" w:header="0"/>
        </w:sectPr>
      </w:pPr>
    </w:p>
    <w:bookmarkStart w:id="230" w:name="page231"/>
    <w:bookmarkEnd w:id="230"/>
    <w:p>
      <w:pPr>
        <w:ind w:firstLine="989"/>
        <w:spacing w:after="0" w:line="290" w:lineRule="auto"/>
        <w:tabs>
          <w:tab w:leader="none" w:pos="1230"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Notice of Event of Default, Unmatured Event of Default or Servicer Termination Event</w:t>
      </w:r>
      <w:r>
        <w:rPr>
          <w:rFonts w:ascii="Arial" w:cs="Arial" w:eastAsia="Arial" w:hAnsi="Arial"/>
          <w:sz w:val="16"/>
          <w:szCs w:val="16"/>
          <w:color w:val="auto"/>
        </w:rPr>
        <w:t xml:space="preserve">. The Administrative Agent shall not be deemed to have knowledge or notice of the occurrence of an Event of Default, Unmatured Event of Default or Servicer Termination Event, unless the Administrative Agent has received written notice from a Lender, Lender Agent, the Borrower or the Servicer referring to this Agreement, describing such Event of Default, Unmatured Event of Default or Servicer Termination Event and stating that such notice is a “Notice of Event of Default,” “Notice of Unmatured Event of Default” or “Notice of Servicer Termination Event,” as applicable. The Administrative Agent shall (subject to </w:t>
      </w:r>
      <w:r>
        <w:rPr>
          <w:rFonts w:ascii="Arial" w:cs="Arial" w:eastAsia="Arial" w:hAnsi="Arial"/>
          <w:sz w:val="16"/>
          <w:szCs w:val="16"/>
          <w:u w:val="single" w:color="auto"/>
          <w:color w:val="auto"/>
        </w:rPr>
        <w:t>Section 10.01(c)</w:t>
      </w:r>
      <w:r>
        <w:rPr>
          <w:rFonts w:ascii="Arial" w:cs="Arial" w:eastAsia="Arial" w:hAnsi="Arial"/>
          <w:sz w:val="16"/>
          <w:szCs w:val="16"/>
          <w:color w:val="auto"/>
        </w:rPr>
        <w:t>) take such action with respect to such Event of Default, Unmatured Event of Default or Servicer Termination Event as may be requested by any Lender Agent acting jointly or as the Administrative Agent shall deem advisable or in the best interest of the Administrative Agent.</w:t>
      </w:r>
    </w:p>
    <w:p>
      <w:pPr>
        <w:spacing w:after="0" w:line="56" w:lineRule="exact"/>
        <w:rPr>
          <w:rFonts w:ascii="Arial" w:cs="Arial" w:eastAsia="Arial" w:hAnsi="Arial"/>
          <w:sz w:val="16"/>
          <w:szCs w:val="16"/>
          <w:color w:val="auto"/>
        </w:rPr>
      </w:pPr>
    </w:p>
    <w:p>
      <w:pPr>
        <w:ind w:firstLine="989"/>
        <w:spacing w:after="0" w:line="285" w:lineRule="auto"/>
        <w:tabs>
          <w:tab w:leader="none" w:pos="1210" w:val="left"/>
        </w:tabs>
        <w:numPr>
          <w:ilvl w:val="0"/>
          <w:numId w:val="237"/>
        </w:numPr>
        <w:rPr>
          <w:rFonts w:ascii="Arial" w:cs="Arial" w:eastAsia="Arial" w:hAnsi="Arial"/>
          <w:sz w:val="16"/>
          <w:szCs w:val="16"/>
          <w:color w:val="auto"/>
        </w:rPr>
      </w:pPr>
      <w:r>
        <w:rPr>
          <w:rFonts w:ascii="Arial" w:cs="Arial" w:eastAsia="Arial" w:hAnsi="Arial"/>
          <w:sz w:val="16"/>
          <w:szCs w:val="16"/>
          <w:u w:val="single" w:color="auto"/>
          <w:color w:val="auto"/>
        </w:rPr>
        <w:t>Credit Decision with Respect to the Administrative Agent</w:t>
      </w:r>
      <w:r>
        <w:rPr>
          <w:rFonts w:ascii="Arial" w:cs="Arial" w:eastAsia="Arial" w:hAnsi="Arial"/>
          <w:sz w:val="16"/>
          <w:szCs w:val="16"/>
          <w:color w:val="auto"/>
        </w:rPr>
        <w:t>. Each Lender Agent and each Secured Party acknowledges that none of the Administrative Agent or any of its Affiliates has made any representation or warranty to it, and that no act by the Administrative Agent hereinafter taken, including any consent to and acceptance of any assignment or review of the affairs of the Borrower, the Servicer, the Transferor or any of their respective Affiliates or review or approval of any of the Collateral Portfolio, shall be deemed to constitute any representation or warranty by any of the Administrative Agent or its Affiliates to any Lender Agent as to any matter, including whether the Administrative Agent has disclosed material information in its possession. Each Lender Agent and each Secured Party acknowledges that it has, independently and without reliance upon the Administrative Agent, or any of the Administrative Agent’s Affiliates, and based upon such documents and information as it has deemed appropriate, made its own evaluation and decision to enter into this Agreement and the other Transaction Documents to which it is a party. Each Lender Agent and each Secured Party also acknowledges that it will, independently and without reliance upon the Administrative Agent, or any of the Administrative Agent’s Affiliates, and based on such documents and information as it shall deem appropriate at the time, continue to make its own decisions in taking or not taking action under this Agreement and the other Transaction Documents to which it is a party. Each Lender Agent and each Secured Party hereby agrees that the Administrative Agent shall not have any duty or responsibility to provide any Lender Agent with any credit or other information concerning the business, prospects, operations, property, financial and other condition or creditworthiness of the Borrower, the Servicer, the Transferor or their respective Affiliates which may come into the possession of the Administrative Agent or any of its Affiliates.</w:t>
      </w:r>
    </w:p>
    <w:p>
      <w:pPr>
        <w:spacing w:after="0" w:line="58" w:lineRule="exact"/>
        <w:rPr>
          <w:rFonts w:ascii="Arial" w:cs="Arial" w:eastAsia="Arial" w:hAnsi="Arial"/>
          <w:sz w:val="16"/>
          <w:szCs w:val="16"/>
          <w:color w:val="auto"/>
        </w:rPr>
      </w:pPr>
    </w:p>
    <w:p>
      <w:pPr>
        <w:ind w:firstLine="989"/>
        <w:spacing w:after="0" w:line="272" w:lineRule="auto"/>
        <w:tabs>
          <w:tab w:leader="none" w:pos="1240"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Indemnification of the Administrative Agent</w:t>
      </w:r>
      <w:r>
        <w:rPr>
          <w:rFonts w:ascii="Arial" w:cs="Arial" w:eastAsia="Arial" w:hAnsi="Arial"/>
          <w:sz w:val="17"/>
          <w:szCs w:val="17"/>
          <w:color w:val="auto"/>
        </w:rPr>
        <w:t xml:space="preserve">. Each Lender and Lender Agent (other than the Conduit Lenders) agrees to indemnify the Administrative Agent (to the extent not reimbursed by the Borrower or the Servicer), ratably in accordance with its Pro Rata Share,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of the other Transaction Documents, or any action taken or omitted by the Administrative Agent hereunder or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Lender Agents and Lender shall not be liable for any portion of such liabilities, obligations, losses, damages,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60"/>
          </w:cols>
          <w:pgMar w:left="460" w:top="273" w:right="479" w:bottom="1440" w:gutter="0" w:footer="0" w:header="0"/>
        </w:sectPr>
      </w:pPr>
    </w:p>
    <w:bookmarkStart w:id="231" w:name="page232"/>
    <w:bookmarkEnd w:id="231"/>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penalties, actions, judgments, suits, costs, expenses or disbursements resulting from the Administrative Agent’s gross negligence or willful misconduct as determined in a final decision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action taken in accordance with the directions of any Lender or Lender Agent shall be deemed to constitute gross negligence or willful misconduct for purposes of this </w:t>
      </w:r>
      <w:r>
        <w:rPr>
          <w:rFonts w:ascii="Arial" w:cs="Arial" w:eastAsia="Arial" w:hAnsi="Arial"/>
          <w:sz w:val="16"/>
          <w:szCs w:val="16"/>
          <w:u w:val="single" w:color="auto"/>
          <w:color w:val="auto"/>
        </w:rPr>
        <w:t>Article X</w:t>
      </w:r>
      <w:r>
        <w:rPr>
          <w:rFonts w:ascii="Arial" w:cs="Arial" w:eastAsia="Arial" w:hAnsi="Arial"/>
          <w:sz w:val="16"/>
          <w:szCs w:val="16"/>
          <w:color w:val="auto"/>
        </w:rPr>
        <w:t>. Without limitation of the foregoing, each Lender (other than the Conduit Lenders) agrees to reimburse the Administrative Agent, ratably in accordance with its Pro Rata Share, promptly upon demand for any out-of-pocket expenses (including counsel fees) incurred by the Administrative Agent in connection with the administration, modification, amendment or enforcement (whether through negotiations, legal proceedings or otherwise) of, or legal advice in respect of rights or responsibilities under, this Agreement and the other Transaction Documents, to the extent that such expenses are incurred in the interests of or otherwise in respect of the Administrative Agent, the Lender Agents or Lenders hereunder or thereunder and to the extent that the Administrative Agent is not reimbursed for such expenses by the Borrower or the Servicer.</w:t>
      </w:r>
    </w:p>
    <w:p>
      <w:pPr>
        <w:spacing w:after="0" w:line="62" w:lineRule="exact"/>
        <w:rPr>
          <w:sz w:val="20"/>
          <w:szCs w:val="20"/>
          <w:color w:val="auto"/>
        </w:rPr>
      </w:pPr>
    </w:p>
    <w:p>
      <w:pPr>
        <w:ind w:firstLine="989"/>
        <w:spacing w:after="0" w:line="266" w:lineRule="auto"/>
        <w:tabs>
          <w:tab w:leader="none" w:pos="1240"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Successor Administrative Agent</w:t>
      </w:r>
      <w:r>
        <w:rPr>
          <w:rFonts w:ascii="Arial" w:cs="Arial" w:eastAsia="Arial" w:hAnsi="Arial"/>
          <w:sz w:val="17"/>
          <w:szCs w:val="17"/>
          <w:color w:val="auto"/>
        </w:rPr>
        <w:t xml:space="preserve">. The Administrative Agent may resign at any time, effective upon the appointment and acceptance of a successor Administrative Agent as provided below, by giving at least five days’ written notice thereof to each Lender Agent and the Borrower and may be removed at any time with cause by the Lender Agents and the Borrower acting jointly. Upon any such resignation or removal, the Lender Agents acting jointly shall appoint a successor Administrative Agent (which, so long as no Event of Default or Unmatured Event of Default is then continuing, shall be subject to the consent of the Borrower, such consent not to be unreasonably withheld). Each Lender Agent agrees that it shall not unreasonably withhold or delay its approval of the appointment of a successor Administrative Agent. If no such successor Administrative Agent shall have been so appointed, and shall have accepted such appointment, within 30 days after the retiring Administrative Agent’s giving of notice of resignation or the removal of the retiring Administrative Agent, then the retiring Administrative Agent may, on behalf of the Secured Parties, appoint a successor Administrative Agent which successor Administrative Agent shall be either (i) a commercial bank organized under the laws of the United States or of any state thereof and have a combined capital and surplus of at least $50,000,000 or (ii) an Affiliate of such a bank.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After any retiring Administrative Agent’s resignation or removal hereunder as Administrative Agent, the provisions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continue to inure to its benefit as to any actions taken or omitted to be taken by it while it was Administrative Agent under this Agreement.</w:t>
      </w:r>
    </w:p>
    <w:p>
      <w:pPr>
        <w:spacing w:after="0" w:line="82" w:lineRule="exact"/>
        <w:rPr>
          <w:rFonts w:ascii="Arial" w:cs="Arial" w:eastAsia="Arial" w:hAnsi="Arial"/>
          <w:sz w:val="17"/>
          <w:szCs w:val="17"/>
          <w:color w:val="auto"/>
        </w:rPr>
      </w:pPr>
    </w:p>
    <w:p>
      <w:pPr>
        <w:ind w:right="100" w:firstLine="989"/>
        <w:spacing w:after="0" w:line="274" w:lineRule="auto"/>
        <w:tabs>
          <w:tab w:leader="none" w:pos="1201"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Payments by the Administrative Agent</w:t>
      </w:r>
      <w:r>
        <w:rPr>
          <w:rFonts w:ascii="Arial" w:cs="Arial" w:eastAsia="Arial" w:hAnsi="Arial"/>
          <w:sz w:val="17"/>
          <w:szCs w:val="17"/>
          <w:color w:val="auto"/>
        </w:rPr>
        <w:t>. Unless specifically allocated to a specific Lender Agent pursuant to the terms of this Agreement, all amounts received by the Administrative Agent on behalf of the Lenders shall be allocated in accordance with their related Lender’s respective Pro Rata Share on the Business Day received by the Administrative Agent, unless such amounts are received after 12:00 noon on such Business Day, in which case the Administrative Agent shall use its reasonable efforts to pay such amounts to each Lender Agent on such Business Day, but, in any event, shall pay such amounts to such Lender Agent not later than the following Business Day.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960"/>
          </w:cols>
          <w:pgMar w:left="460" w:top="273" w:right="479" w:bottom="1440" w:gutter="0" w:footer="0" w:header="0"/>
        </w:sectPr>
      </w:pPr>
    </w:p>
    <w:bookmarkStart w:id="232" w:name="page233"/>
    <w:bookmarkEnd w:id="23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10.02 </w:t>
      </w:r>
      <w:r>
        <w:rPr>
          <w:rFonts w:ascii="Arial" w:cs="Arial" w:eastAsia="Arial" w:hAnsi="Arial"/>
          <w:sz w:val="18"/>
          <w:szCs w:val="18"/>
          <w:u w:val="single" w:color="auto"/>
          <w:color w:val="auto"/>
        </w:rPr>
        <w:t>The Lender Agents</w:t>
      </w:r>
      <w:r>
        <w:rPr>
          <w:rFonts w:ascii="Arial" w:cs="Arial" w:eastAsia="Arial" w:hAnsi="Arial"/>
          <w:sz w:val="18"/>
          <w:szCs w:val="18"/>
          <w:color w:val="auto"/>
        </w:rPr>
        <w:t>.</w:t>
      </w:r>
    </w:p>
    <w:p>
      <w:pPr>
        <w:spacing w:after="0" w:line="115" w:lineRule="exact"/>
        <w:rPr>
          <w:sz w:val="20"/>
          <w:szCs w:val="20"/>
          <w:color w:val="auto"/>
        </w:rPr>
      </w:pPr>
    </w:p>
    <w:p>
      <w:pPr>
        <w:ind w:right="40" w:firstLine="989"/>
        <w:spacing w:after="0" w:line="285" w:lineRule="auto"/>
        <w:tabs>
          <w:tab w:leader="none" w:pos="1230" w:val="left"/>
        </w:tabs>
        <w:numPr>
          <w:ilvl w:val="1"/>
          <w:numId w:val="239"/>
        </w:numPr>
        <w:rPr>
          <w:rFonts w:ascii="Arial" w:cs="Arial" w:eastAsia="Arial" w:hAnsi="Arial"/>
          <w:sz w:val="16"/>
          <w:szCs w:val="16"/>
          <w:color w:val="auto"/>
        </w:rPr>
      </w:pPr>
      <w:r>
        <w:rPr>
          <w:rFonts w:ascii="Arial" w:cs="Arial" w:eastAsia="Arial" w:hAnsi="Arial"/>
          <w:sz w:val="16"/>
          <w:szCs w:val="16"/>
          <w:u w:val="single" w:color="auto"/>
          <w:color w:val="auto"/>
        </w:rPr>
        <w:t>Authorization and Action</w:t>
      </w:r>
      <w:r>
        <w:rPr>
          <w:rFonts w:ascii="Arial" w:cs="Arial" w:eastAsia="Arial" w:hAnsi="Arial"/>
          <w:sz w:val="16"/>
          <w:szCs w:val="16"/>
          <w:color w:val="auto"/>
        </w:rPr>
        <w:t>. Each Lender, respectively, hereby designates and appoints its applicable Lender Agent to act as its agent hereunder and under each other Transaction Document, and authorizes such Lender Agent to take such actions as agent on its behalf and to exercise such powers as are delegated to such Lender Agent by the terms of this Agreement and the other Transaction Documents, together with such powers as are reasonably incidental thereto. No Lender Agent shall have any duties or responsibilities, except those expressly set forth herein or in any other Transaction Document, or any fiduciary relationship with its related Lender, and no implied covenants, functions, responsibilities, duties, obligations or liabilities on the part of such Lender Agent shall be read into this Agreement or any other Transaction Document or otherwise exist for such Lender Agent. In performing its functions and duties hereunder and under the other Transaction Documents, each Lender Agent shall act solely as agent for its related Lender and does not assume nor shall be deemed to have assumed any obligation or relationship of trust or agency with or for the Borrower or the Servicer or any of the Borrower’s or the Servicer’s successors or assigns. No Lender Agent shall be required to take any action that exposes such Lender Agent to personal liability or that is contrary to this Agreement, any other Transaction Document or Applicable Law. The appointment and authority of each Lender Agent hereunder shall terminate upon the indefeasible payment in full of all Obligations. Each Lender Agent hereby authorizes the Administrative Agent to file any UCC financing statement deemed necessary by the Administrative Agent on behalf of such Lender Agent (the terms of which shall be binding on such Lender Agent ).</w:t>
      </w:r>
    </w:p>
    <w:p>
      <w:pPr>
        <w:spacing w:after="0" w:line="62" w:lineRule="exact"/>
        <w:rPr>
          <w:rFonts w:ascii="Arial" w:cs="Arial" w:eastAsia="Arial" w:hAnsi="Arial"/>
          <w:sz w:val="16"/>
          <w:szCs w:val="16"/>
          <w:color w:val="auto"/>
        </w:rPr>
      </w:pPr>
    </w:p>
    <w:p>
      <w:pPr>
        <w:ind w:right="40" w:firstLine="989"/>
        <w:spacing w:after="0" w:line="284" w:lineRule="auto"/>
        <w:tabs>
          <w:tab w:leader="none" w:pos="1240"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Delegation of Duties</w:t>
      </w:r>
      <w:r>
        <w:rPr>
          <w:rFonts w:ascii="Arial" w:cs="Arial" w:eastAsia="Arial" w:hAnsi="Arial"/>
          <w:sz w:val="17"/>
          <w:szCs w:val="17"/>
          <w:color w:val="auto"/>
        </w:rPr>
        <w:t>. Each Lender Agent may execute any of its duties under this Agreement and each other Transaction Document by or through agents or attorneys-in-fact and shall be entitled to advice of counsel concerning all matters pertaining to such duties. No Lender Agent shall be responsible for the negligence or misconduct of any agents or attorneys-in-fact selected by it with reasonable care.</w:t>
      </w:r>
    </w:p>
    <w:p>
      <w:pPr>
        <w:spacing w:after="0" w:line="58" w:lineRule="exact"/>
        <w:rPr>
          <w:rFonts w:ascii="Arial" w:cs="Arial" w:eastAsia="Arial" w:hAnsi="Arial"/>
          <w:sz w:val="17"/>
          <w:szCs w:val="17"/>
          <w:color w:val="auto"/>
        </w:rPr>
      </w:pPr>
    </w:p>
    <w:p>
      <w:pPr>
        <w:ind w:right="20" w:firstLine="989"/>
        <w:spacing w:after="0" w:line="269" w:lineRule="auto"/>
        <w:tabs>
          <w:tab w:leader="none" w:pos="1230"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Exculpatory Provisions</w:t>
      </w:r>
      <w:r>
        <w:rPr>
          <w:rFonts w:ascii="Arial" w:cs="Arial" w:eastAsia="Arial" w:hAnsi="Arial"/>
          <w:sz w:val="17"/>
          <w:szCs w:val="17"/>
          <w:color w:val="auto"/>
        </w:rPr>
        <w:t>. Neither any Lender Agent nor any of its directors, officers, agents or employees shall be (i) liable for any action lawfully taken or omitted to be taken by it or them under or in connection with this Agreement or any other Transaction Document (except for its, their or such Person’s own gross negligence or willful misconduct as determined in a final decision by a court of competent jurisdiction), or</w:t>
      </w:r>
    </w:p>
    <w:p>
      <w:pPr>
        <w:spacing w:after="0" w:line="2" w:lineRule="exact"/>
        <w:rPr>
          <w:rFonts w:ascii="Arial" w:cs="Arial" w:eastAsia="Arial" w:hAnsi="Arial"/>
          <w:sz w:val="17"/>
          <w:szCs w:val="17"/>
          <w:color w:val="auto"/>
        </w:rPr>
      </w:pPr>
    </w:p>
    <w:p>
      <w:pPr>
        <w:ind w:firstLine="2"/>
        <w:spacing w:after="0" w:line="266" w:lineRule="auto"/>
        <w:tabs>
          <w:tab w:leader="none" w:pos="264"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responsible in any manner to its related Lender for any recitals, statements, representations or warranties made by the Borrower or the Servicer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any other Transaction Document or any certificate, report, statement or other document referred to or provided for in, or received under or in connection with, this Agreement or any other Transaction Document, or for the value, validity, effectiveness, genuineness, enforceability or sufficiency of this Agreement, any other Transaction Document or any other document furnished in connection herewith or therewith, or for any failure of the Borrower or the Servicer to perform its obligations hereunder or thereunder, or for the satisfaction of any condition specified in this Agreement, or for the perfection, priority, condition, value or sufficiency of any collateral pledged in connection herewith. No Lender Agent shall be under any obligation to its related Lender to ascertain or to inquire as to the observance or performance of any of the agreements or covenants contained in, or conditions of, this Agreement or any other Transaction Document, or to inspect the properties, books or records of the Borrower or the Servicer. No Lender Agent shall be deemed to have knowledge of any Event of Default or Unmatured Event of Default unless such Lender Agent has received notice from the Borrower or its related Lender.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960"/>
          </w:cols>
          <w:pgMar w:left="460" w:top="273" w:right="479" w:bottom="1440" w:gutter="0" w:footer="0" w:header="0"/>
        </w:sectPr>
      </w:pPr>
    </w:p>
    <w:bookmarkStart w:id="233" w:name="page234"/>
    <w:bookmarkEnd w:id="233"/>
    <w:p>
      <w:pPr>
        <w:ind w:left="-80" w:right="80" w:firstLine="989"/>
        <w:spacing w:after="0" w:line="287" w:lineRule="auto"/>
        <w:tabs>
          <w:tab w:leader="none" w:pos="116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Reliance by Lender Agent</w:t>
      </w:r>
      <w:r>
        <w:rPr>
          <w:rFonts w:ascii="Arial" w:cs="Arial" w:eastAsia="Arial" w:hAnsi="Arial"/>
          <w:sz w:val="16"/>
          <w:szCs w:val="16"/>
          <w:color w:val="auto"/>
        </w:rPr>
        <w:t xml:space="preserve">. Each Lender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Lender Agent. Each Lender Agent shall in all cases be fully justified in failing or refusing to take any action under this Agreement or any other Transaction Document unless it shall first receive such advice or concurrence of its related Lender as it deems appropriate and it shall first be indemnified to its satisfaction by its related Lenders (other than the Conduit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such Lender Agent shall have received such advice, such Lender Agent may take or refrain from taking any action, as the Lender Agent shall deem advisable and in the best interests of its related Lender. Each Lender Agent shall in all cases be fully protected in acting, or in refraining from acting, in accordance with a request of its related Lender, and such request and any action taken or failure to act pursuant thereto shall be binding upon its related Lender.</w:t>
      </w:r>
    </w:p>
    <w:p>
      <w:pPr>
        <w:spacing w:after="0" w:line="62" w:lineRule="exact"/>
        <w:rPr>
          <w:rFonts w:ascii="Arial" w:cs="Arial" w:eastAsia="Arial" w:hAnsi="Arial"/>
          <w:sz w:val="16"/>
          <w:szCs w:val="16"/>
          <w:color w:val="auto"/>
        </w:rPr>
      </w:pPr>
    </w:p>
    <w:p>
      <w:pPr>
        <w:ind w:left="-80" w:right="40" w:firstLine="989"/>
        <w:spacing w:after="0" w:line="290" w:lineRule="auto"/>
        <w:tabs>
          <w:tab w:leader="none" w:pos="1150"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Non-Reliance on Lender Agent</w:t>
      </w:r>
      <w:r>
        <w:rPr>
          <w:rFonts w:ascii="Arial" w:cs="Arial" w:eastAsia="Arial" w:hAnsi="Arial"/>
          <w:sz w:val="16"/>
          <w:szCs w:val="16"/>
          <w:color w:val="auto"/>
        </w:rPr>
        <w:t>. Each Lender expressly acknowledges that neither its related Lender Agent, nor any of its officers, directors, employees, agents, attorneys-in-fact or affiliates has made any representations or warranties to it and that no act by such Lender Agent hereafter taken, including, without limitation, any review of the affairs of the Borrower or the Servicer, shall be deemed to constitute any representation or warranty by such Lender Agent. Each Lender represents and warrants to its related Lender Agent that it has and will, independently and without reliance upon its related Lender Agent, and based on such documents and information as it has deemed appropriate, made its own appraisal of an investigation into the business, operations, property, prospects, financial and other conditions and creditworthiness of the Borrower and made its own decision to enter into this Agreement, the other Transaction Documents and all other documents related hereto or thereto.</w:t>
      </w:r>
    </w:p>
    <w:p>
      <w:pPr>
        <w:spacing w:after="0" w:line="56" w:lineRule="exact"/>
        <w:rPr>
          <w:rFonts w:ascii="Arial" w:cs="Arial" w:eastAsia="Arial" w:hAnsi="Arial"/>
          <w:sz w:val="16"/>
          <w:szCs w:val="16"/>
          <w:color w:val="auto"/>
        </w:rPr>
      </w:pPr>
    </w:p>
    <w:p>
      <w:pPr>
        <w:ind w:left="-80" w:right="20" w:firstLine="989"/>
        <w:spacing w:after="0" w:line="255" w:lineRule="auto"/>
        <w:tabs>
          <w:tab w:leader="none" w:pos="113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The Lender Agents are in their Respective Individual Capacities</w:t>
      </w:r>
      <w:r>
        <w:rPr>
          <w:rFonts w:ascii="Arial" w:cs="Arial" w:eastAsia="Arial" w:hAnsi="Arial"/>
          <w:sz w:val="18"/>
          <w:szCs w:val="18"/>
          <w:color w:val="auto"/>
        </w:rPr>
        <w:t>. Each Lender Agent and its Affiliates may make loans to, accept deposits from and generally engage in any kind of business with the Borrower or any Affiliate of the Borrower as though such Lender Agent were not a Lender Agent hereunder. With respect to Advances pursuant to this Agreement, each Lender Agent shall have the same rights and powers under this Agreement in its individual capacity as any Lender and may exercise the same as though it were not a Lender Agent, and the terms “Lender,” and “Lenders,” shall include the Lender Agent in its individual capacity.</w:t>
      </w:r>
    </w:p>
    <w:p>
      <w:pPr>
        <w:spacing w:after="0" w:line="82" w:lineRule="exact"/>
        <w:rPr>
          <w:rFonts w:ascii="Arial" w:cs="Arial" w:eastAsia="Arial" w:hAnsi="Arial"/>
          <w:sz w:val="18"/>
          <w:szCs w:val="18"/>
          <w:color w:val="auto"/>
        </w:rPr>
      </w:pPr>
    </w:p>
    <w:p>
      <w:pPr>
        <w:ind w:left="-80" w:firstLine="989"/>
        <w:spacing w:after="0" w:line="253" w:lineRule="auto"/>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Successor Lender Agent</w:t>
      </w:r>
      <w:r>
        <w:rPr>
          <w:rFonts w:ascii="Arial" w:cs="Arial" w:eastAsia="Arial" w:hAnsi="Arial"/>
          <w:sz w:val="18"/>
          <w:szCs w:val="18"/>
          <w:color w:val="auto"/>
        </w:rPr>
        <w:t xml:space="preserve">. Each Lender Agent may, upon five days’ notice to the Borrower and its related Lender, and such Lender Agent will, upon the direction of its related Lender resign as the Lender Agent for such Lender. If any Lender Agent shall resign, then its related Lender during such five day period shall appoint a successor agent. If for any reason no successor agent is appointed by such Lender during such five day period, then effective upon the termination of such five day period, and the Borrower shall make all payments in respect of the Obligations due to such Lender directly to such Lender, and for all purposes shall deal directly with such Lender. After any retiring Lender Agent’s resignation hereunder as a Lender Agent, the provisions of </w:t>
      </w:r>
      <w:r>
        <w:rPr>
          <w:rFonts w:ascii="Arial" w:cs="Arial" w:eastAsia="Arial" w:hAnsi="Arial"/>
          <w:sz w:val="18"/>
          <w:szCs w:val="18"/>
          <w:u w:val="single" w:color="auto"/>
          <w:color w:val="auto"/>
        </w:rPr>
        <w:t>Articles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X</w:t>
      </w:r>
      <w:r>
        <w:rPr>
          <w:rFonts w:ascii="Arial" w:cs="Arial" w:eastAsia="Arial" w:hAnsi="Arial"/>
          <w:sz w:val="18"/>
          <w:szCs w:val="18"/>
          <w:color w:val="auto"/>
        </w:rPr>
        <w:t xml:space="preserve"> shall inure to its benefit with respect to any actions taken or omitted to be taken by it while it was a Lender Agent under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820"/>
          </w:cols>
          <w:pgMar w:left="540" w:top="273" w:right="5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ARTICLE XI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COLLATERAL AGENT</w:t>
      </w:r>
    </w:p>
    <w:p>
      <w:pPr>
        <w:spacing w:after="0" w:line="2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Designation of Collateral Agent</w:t>
      </w:r>
      <w:r>
        <w:rPr>
          <w:rFonts w:ascii="Arial" w:cs="Arial" w:eastAsia="Arial" w:hAnsi="Arial"/>
          <w:sz w:val="18"/>
          <w:szCs w:val="18"/>
          <w:color w:val="auto"/>
        </w:rPr>
        <w:t>.</w:t>
      </w:r>
    </w:p>
    <w:p>
      <w:pPr>
        <w:spacing w:after="0" w:line="115" w:lineRule="exact"/>
        <w:rPr>
          <w:sz w:val="20"/>
          <w:szCs w:val="20"/>
          <w:color w:val="auto"/>
        </w:rPr>
      </w:pPr>
    </w:p>
    <w:p>
      <w:pPr>
        <w:ind w:left="-40" w:right="180" w:firstLine="989"/>
        <w:spacing w:after="0" w:line="295" w:lineRule="auto"/>
        <w:tabs>
          <w:tab w:leader="none" w:pos="1190"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Initial Collateral Agent</w:t>
      </w:r>
      <w:r>
        <w:rPr>
          <w:rFonts w:ascii="Arial" w:cs="Arial" w:eastAsia="Arial" w:hAnsi="Arial"/>
          <w:sz w:val="16"/>
          <w:szCs w:val="16"/>
          <w:color w:val="auto"/>
        </w:rPr>
        <w:t>. Each of the Borrower, the Administrative Agent and the Lender Agents hereby designate and appoint the Collateral Agent to act as its agent for the purposes of perfection of a security interest in the Collateral Portfolio and hereby authorizes the Collateral Agent to take such actions on its behalf and on behalf of each of the Secured Parties and to exercise such powers and perform such duties as are expressly granted to the Collateral Agent by this Agreement. The Collateral Agent hereby accepts such agency appointment to act as Collateral Agent pursuant to the terms of this Agreement, until its resignation or removal as Collateral Agent pursuant to the terms hereof.</w:t>
      </w:r>
    </w:p>
    <w:p>
      <w:pPr>
        <w:spacing w:after="0" w:line="51" w:lineRule="exact"/>
        <w:rPr>
          <w:rFonts w:ascii="Arial" w:cs="Arial" w:eastAsia="Arial" w:hAnsi="Arial"/>
          <w:sz w:val="16"/>
          <w:szCs w:val="16"/>
          <w:color w:val="auto"/>
        </w:rPr>
      </w:pPr>
    </w:p>
    <w:p>
      <w:pPr>
        <w:ind w:left="-40" w:firstLine="989"/>
        <w:spacing w:after="0" w:line="262" w:lineRule="auto"/>
        <w:tabs>
          <w:tab w:leader="none" w:pos="120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Successor Collateral Agent</w:t>
      </w:r>
      <w:r>
        <w:rPr>
          <w:rFonts w:ascii="Arial" w:cs="Arial" w:eastAsia="Arial" w:hAnsi="Arial"/>
          <w:sz w:val="18"/>
          <w:szCs w:val="18"/>
          <w:color w:val="auto"/>
        </w:rPr>
        <w:t xml:space="preserve">. Upon the Collateral Agent’s receipt of a Collateral Agent Termination Notice from the Administrative Agent of the designation of a successor Collateral Agent pursuant to the provisions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the Collateral Agent agrees that it will terminate its activities as Collateral Agent hereunder.</w:t>
      </w:r>
    </w:p>
    <w:p>
      <w:pPr>
        <w:spacing w:after="0" w:line="74" w:lineRule="exact"/>
        <w:rPr>
          <w:rFonts w:ascii="Arial" w:cs="Arial" w:eastAsia="Arial" w:hAnsi="Arial"/>
          <w:sz w:val="18"/>
          <w:szCs w:val="18"/>
          <w:color w:val="auto"/>
        </w:rPr>
      </w:pPr>
    </w:p>
    <w:p>
      <w:pPr>
        <w:ind w:left="-40" w:right="320" w:firstLine="989"/>
        <w:spacing w:after="0" w:line="284" w:lineRule="auto"/>
        <w:tabs>
          <w:tab w:leader="none" w:pos="1190"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Secured Party</w:t>
      </w:r>
      <w:r>
        <w:rPr>
          <w:rFonts w:ascii="Arial" w:cs="Arial" w:eastAsia="Arial" w:hAnsi="Arial"/>
          <w:sz w:val="17"/>
          <w:szCs w:val="17"/>
          <w:color w:val="auto"/>
        </w:rPr>
        <w:t xml:space="preserve">. The Administrative Agent, the Lender Agents and the Lenders hereby appoint Citibank, in its capacity as Collateral Agent hereunder, as their agent for the purposes of perfection of a security interest in the Collateral Portfolio. Citibank, in its capacity as Collateral Agent hereunder, hereby accepts such appointment and agrees to perform the duties set forth in </w:t>
      </w:r>
      <w:r>
        <w:rPr>
          <w:rFonts w:ascii="Arial" w:cs="Arial" w:eastAsia="Arial" w:hAnsi="Arial"/>
          <w:sz w:val="17"/>
          <w:szCs w:val="17"/>
          <w:u w:val="single" w:color="auto"/>
          <w:color w:val="auto"/>
        </w:rPr>
        <w:t>Section 11.02(b)</w:t>
      </w:r>
      <w:r>
        <w:rPr>
          <w:rFonts w:ascii="Arial" w:cs="Arial" w:eastAsia="Arial" w:hAnsi="Arial"/>
          <w:sz w:val="17"/>
          <w:szCs w:val="17"/>
          <w:color w:val="auto"/>
        </w:rPr>
        <w:t>.</w:t>
      </w:r>
    </w:p>
    <w:p>
      <w:pPr>
        <w:spacing w:after="0" w:line="1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Duties of Collateral Agent</w:t>
      </w:r>
      <w:r>
        <w:rPr>
          <w:rFonts w:ascii="Arial" w:cs="Arial" w:eastAsia="Arial" w:hAnsi="Arial"/>
          <w:sz w:val="18"/>
          <w:szCs w:val="18"/>
          <w:color w:val="auto"/>
        </w:rPr>
        <w:t>.</w:t>
      </w:r>
    </w:p>
    <w:p>
      <w:pPr>
        <w:spacing w:after="0" w:line="115" w:lineRule="exact"/>
        <w:rPr>
          <w:sz w:val="20"/>
          <w:szCs w:val="20"/>
          <w:color w:val="auto"/>
        </w:rPr>
      </w:pPr>
    </w:p>
    <w:p>
      <w:pPr>
        <w:ind w:left="-40" w:right="260" w:firstLine="989"/>
        <w:spacing w:after="0" w:line="262" w:lineRule="auto"/>
        <w:tabs>
          <w:tab w:leader="none" w:pos="119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The Borrower, the Administrative Agent and the Lender Agents each hereby appoints Citibank to act as Collateral Agent, for the benefit of the Secured Parties. The Collateral Agent hereby accepts such appointment and agrees to perform the duties and obligations with respect thereto set forth herein.</w:t>
      </w:r>
    </w:p>
    <w:p>
      <w:pPr>
        <w:spacing w:after="0" w:line="74" w:lineRule="exact"/>
        <w:rPr>
          <w:rFonts w:ascii="Arial" w:cs="Arial" w:eastAsia="Arial" w:hAnsi="Arial"/>
          <w:sz w:val="18"/>
          <w:szCs w:val="18"/>
          <w:color w:val="auto"/>
        </w:rPr>
      </w:pPr>
    </w:p>
    <w:p>
      <w:pPr>
        <w:ind w:left="-40" w:right="160" w:firstLine="989"/>
        <w:spacing w:after="0" w:line="275" w:lineRule="auto"/>
        <w:tabs>
          <w:tab w:leader="none" w:pos="120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xml:space="preserve">. On or before the initial Advance Date, and until its removal pursuant to </w:t>
      </w:r>
      <w:r>
        <w:rPr>
          <w:rFonts w:ascii="Arial" w:cs="Arial" w:eastAsia="Arial" w:hAnsi="Arial"/>
          <w:sz w:val="18"/>
          <w:szCs w:val="18"/>
          <w:u w:val="single" w:color="auto"/>
          <w:color w:val="auto"/>
        </w:rPr>
        <w:t>Section 11.05</w:t>
      </w:r>
      <w:r>
        <w:rPr>
          <w:rFonts w:ascii="Arial" w:cs="Arial" w:eastAsia="Arial" w:hAnsi="Arial"/>
          <w:sz w:val="18"/>
          <w:szCs w:val="18"/>
          <w:color w:val="auto"/>
        </w:rPr>
        <w:t>, the Collateral Agent shall perform, on behalf of the Secured Parties, the following duties and obligations:</w:t>
      </w:r>
    </w:p>
    <w:p>
      <w:pPr>
        <w:spacing w:after="0" w:line="63" w:lineRule="exact"/>
        <w:rPr>
          <w:rFonts w:ascii="Arial" w:cs="Arial" w:eastAsia="Arial" w:hAnsi="Arial"/>
          <w:sz w:val="18"/>
          <w:szCs w:val="18"/>
          <w:color w:val="auto"/>
        </w:rPr>
      </w:pPr>
    </w:p>
    <w:p>
      <w:pPr>
        <w:ind w:left="400" w:firstLine="421"/>
        <w:spacing w:after="0" w:line="262" w:lineRule="auto"/>
        <w:tabs>
          <w:tab w:leader="none" w:pos="103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The Collateral Agent shall calculate amounts to be remitted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the applicable parties and notify the Servicer and the Administrative Agent in the event of any discrepancy between the Collateral Agent’s calculations and the Servicing Report (such dispute to be resolved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880"/>
          </w:cols>
          <w:pgMar w:left="500" w:top="269" w:right="519" w:bottom="1440" w:gutter="0" w:footer="0" w:header="0"/>
        </w:sectPr>
      </w:pPr>
    </w:p>
    <w:bookmarkStart w:id="235" w:name="page236"/>
    <w:bookmarkEnd w:id="235"/>
    <w:p>
      <w:pPr>
        <w:ind w:left="420" w:right="360" w:firstLine="421"/>
        <w:spacing w:after="0" w:line="275" w:lineRule="auto"/>
        <w:tabs>
          <w:tab w:leader="none" w:pos="1105"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Collateral Agent shall make payments pursuant to the terms of the Servicing Report or as otherwise directed in accordance with </w:t>
      </w:r>
      <w:r>
        <w:rPr>
          <w:rFonts w:ascii="Arial" w:cs="Arial" w:eastAsia="Arial" w:hAnsi="Arial"/>
          <w:sz w:val="18"/>
          <w:szCs w:val="18"/>
          <w:u w:val="single" w:color="auto"/>
          <w:color w:val="auto"/>
        </w:rPr>
        <w:t>Sections 2.04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Payment Duties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20" w:firstLine="421"/>
        <w:spacing w:after="0" w:line="272" w:lineRule="auto"/>
        <w:tabs>
          <w:tab w:leader="none" w:pos="1154"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Collateral Agent shall provide to the Servicer a copy of all written notices and communications identified as being sent to it in connection with the Loan Assets and the other Collateral Portfolio held hereunder which it receives from the related Obligor, participating bank or agent bank. In no instance shall the Collateral Agent be under any duty or obligation to take any action on behalf of the Servicer in respect of the exercise of any voting or consent rights, or similar actions, unless it receives specific written instructions from the Servicer, prior to the occurrence of an Event of Default or the Administrative Agent, after the occurrence of Event of Default, in which event the Collateral Agent shall vote, consent or take such other action in accordance with such instructions.</w:t>
      </w:r>
    </w:p>
    <w:p>
      <w:pPr>
        <w:spacing w:after="0" w:line="68" w:lineRule="exact"/>
        <w:rPr>
          <w:rFonts w:ascii="Arial" w:cs="Arial" w:eastAsia="Arial" w:hAnsi="Arial"/>
          <w:sz w:val="17"/>
          <w:szCs w:val="17"/>
          <w:color w:val="auto"/>
        </w:rPr>
      </w:pPr>
    </w:p>
    <w:p>
      <w:pPr>
        <w:ind w:left="-20" w:right="20" w:firstLine="989"/>
        <w:spacing w:after="0" w:line="267" w:lineRule="auto"/>
        <w:tabs>
          <w:tab w:leader="none" w:pos="121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 xml:space="preserve">(i) The Administrative Agent, each Lender Agent and each Secured Party further authorizes the Collateral Agent to take such action as agent on its behalf and to exercise such powers under this Agreement and the other Transaction Documents as are expressly delegated to the Collateral Agent by the terms hereof and thereof, together with such powers as are reasonably incidental thereto. In furtherance, and without limiting the generality of the foregoing, each Secured Party hereby appoints the Collateral Agent (acting at the direction of the Administrative Agent) as its agent to execute and deliver all further instruments and documents, and take all further action that the Administrative Agent deems necessary or desirable in order to perfect, protect or more fully evidence the security interests granted by the Borrower hereunder, or to enable any of them to exercise or enforce any of their respective rights hereunder, including, without limitation, the execution by the Collateral Agent as secured party/assignee of such financing or continuation statements, or amendments thereto or assignments thereof, relative to all or any of the Loan Assets now existing or hereafter arising, and such other instruments or notices, as may be necessary or appropriate for the purposes stated hereinabove. Nothing in this </w:t>
      </w:r>
      <w:r>
        <w:rPr>
          <w:rFonts w:ascii="Arial" w:cs="Arial" w:eastAsia="Arial" w:hAnsi="Arial"/>
          <w:sz w:val="17"/>
          <w:szCs w:val="17"/>
          <w:u w:val="single" w:color="auto"/>
          <w:color w:val="auto"/>
        </w:rPr>
        <w:t>Section 11.02(c)</w:t>
      </w:r>
      <w:r>
        <w:rPr>
          <w:rFonts w:ascii="Arial" w:cs="Arial" w:eastAsia="Arial" w:hAnsi="Arial"/>
          <w:sz w:val="17"/>
          <w:szCs w:val="17"/>
          <w:color w:val="auto"/>
        </w:rPr>
        <w:t xml:space="preserve"> shall be deemed to relieve the Borrower or the Servicer of their respective obligations to protect the interest of the Collateral Agent (for the benefit of the Secured Parties) in the Collateral Portfolio, including to file financing and continuation statements in respect of the Collateral Portfolio in accordance with </w:t>
      </w:r>
      <w:r>
        <w:rPr>
          <w:rFonts w:ascii="Arial" w:cs="Arial" w:eastAsia="Arial" w:hAnsi="Arial"/>
          <w:sz w:val="17"/>
          <w:szCs w:val="17"/>
          <w:u w:val="single" w:color="auto"/>
          <w:color w:val="auto"/>
        </w:rPr>
        <w:t>Section 5.01(t)</w:t>
      </w:r>
      <w:r>
        <w:rPr>
          <w:rFonts w:ascii="Arial" w:cs="Arial" w:eastAsia="Arial" w:hAnsi="Arial"/>
          <w:sz w:val="17"/>
          <w:szCs w:val="17"/>
          <w:color w:val="auto"/>
        </w:rPr>
        <w:t>.</w:t>
      </w:r>
    </w:p>
    <w:p>
      <w:pPr>
        <w:spacing w:after="0" w:line="78" w:lineRule="exact"/>
        <w:rPr>
          <w:sz w:val="20"/>
          <w:szCs w:val="20"/>
          <w:color w:val="auto"/>
        </w:rPr>
      </w:pPr>
    </w:p>
    <w:p>
      <w:pPr>
        <w:ind w:left="420" w:right="60" w:firstLine="421"/>
        <w:spacing w:after="0" w:line="268" w:lineRule="auto"/>
        <w:tabs>
          <w:tab w:leader="none" w:pos="110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The Administrative Agent may direct the Collateral Agent to take any such incidental action hereunder. With respect to other actions which are incidental to the actions specifically delegated to the Collateral Agent hereunder, the Collateral Agent shall not be required to take any such incidental action hereunder, but shall be required to act or to refrain from acting (and shall be fully protected in acting or refraining from acting) upon the direction of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Collateral Agent shall not be required to take any action hereunder at the request of the Administrative Agent, any Secured Party or otherwise if the taking of such action, in the reasonable determination of the Collateral Agent, (x) shall be in violation of any Applicable Law or contrary to any provisions of this Agreement or (y) shall expose the Collateral Agent to liability hereunder or otherwise (unless it has received indemnity which it reasonably deems to be satisfactory with respect thereto). In the event the Collateral Agent requests the consent of the Administrative Agent and the Collateral Agent does not receive a consent (either positive or negative) from the Administrative Agent within 10 Business Days of its receipt of such request, then the Administrative Agent shall be deemed to have declined to consent to the relevant action.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0940"/>
          </w:cols>
          <w:pgMar w:left="480" w:top="273" w:right="479" w:bottom="1440" w:gutter="0" w:footer="0" w:header="0"/>
        </w:sectPr>
      </w:pPr>
    </w:p>
    <w:bookmarkStart w:id="236" w:name="page237"/>
    <w:bookmarkEnd w:id="236"/>
    <w:p>
      <w:pPr>
        <w:ind w:left="440" w:firstLine="421"/>
        <w:spacing w:after="0" w:line="269" w:lineRule="auto"/>
        <w:tabs>
          <w:tab w:leader="none" w:pos="1174" w:val="left"/>
        </w:tabs>
        <w:numPr>
          <w:ilvl w:val="0"/>
          <w:numId w:val="2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Except as expressly provided herein, the Collateral Agent shall not be under any duty or obligation to take any affirmative action to exercise or enforce any power, right or remedy available to it under this Agreement (x) unless and until (and to the extent) expressly so directed by the Administrative Agent or (y) prior to the Final Maturity Date (and upon such occurrence, the Collateral Agent shall act in accordance with the written instructions of the Administrative Agent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The Collateral Agent shall not be liable for any action taken, suffered or omitted by it in accordance with the request or direction of any Secured Party, to the extent that this Agreement provides such Secured Party the right to so direct the Collateral Agent, or the Administrative Agent. The Collateral Agent shall not be deemed to have notice or knowledge of any matter hereunder, including an Event of Default, unless a Responsible Officer of the Collateral Agent has knowledge of such matter or written notice thereof is received by the Collateral Agent.</w:t>
      </w:r>
    </w:p>
    <w:p>
      <w:pPr>
        <w:spacing w:after="0" w:line="74" w:lineRule="exact"/>
        <w:rPr>
          <w:rFonts w:ascii="Arial" w:cs="Arial" w:eastAsia="Arial" w:hAnsi="Arial"/>
          <w:sz w:val="17"/>
          <w:szCs w:val="17"/>
          <w:color w:val="auto"/>
        </w:rPr>
      </w:pPr>
    </w:p>
    <w:p>
      <w:pPr>
        <w:ind w:right="60" w:firstLine="989"/>
        <w:spacing w:after="0" w:line="270" w:lineRule="auto"/>
        <w:tabs>
          <w:tab w:leader="none" w:pos="12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If, in performing its duties under this Agreement, the Collateral Agent is required to decide between alternative courses of action, the Collateral Agent may request written instructions from the Administrative Agent as to the course of action desired by it. If the Collateral Agent does not receive such instructions within two Business Days after it has requested them, the Collateral Agent may, but shall be under no duty to, take or refrain from taking any such courses of action. The Collateral Agent shall act in accordance with instructions received after such two Business Day period except to the extent it has already, in good faith, taken or committed itself to take, action inconsistent with such instructions. The Collateral Agent shall be entitled to rely on the advice of legal counsel and independent accountants in performing its duties hereunder and shall be deemed to have acted in good faith if it acts in accordance with such advice.</w:t>
      </w:r>
    </w:p>
    <w:p>
      <w:pPr>
        <w:spacing w:after="0" w:line="73" w:lineRule="exact"/>
        <w:rPr>
          <w:rFonts w:ascii="Arial" w:cs="Arial" w:eastAsia="Arial" w:hAnsi="Arial"/>
          <w:sz w:val="17"/>
          <w:szCs w:val="17"/>
          <w:color w:val="auto"/>
        </w:rPr>
      </w:pPr>
    </w:p>
    <w:p>
      <w:pPr>
        <w:ind w:right="20" w:firstLine="989"/>
        <w:spacing w:after="0" w:line="258" w:lineRule="auto"/>
        <w:tabs>
          <w:tab w:leader="none" w:pos="123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Concurrently herewith, the Administrative Agent directs the Collateral Agent and the Collateral Agent is authorized to enter into the Collection Account Agreement and the URCA Account Agreement. For the avoidance of doubt, all of the Collateral Agent’s rights, protections and immunities provided herein shall apply to the Collateral Agent for any actions taken or omitted to be taken under the Collection Account Agreement and the URCA Account Agreement in such capacity.</w:t>
      </w:r>
    </w:p>
    <w:p>
      <w:pPr>
        <w:spacing w:after="0" w:line="185" w:lineRule="exact"/>
        <w:rPr>
          <w:sz w:val="20"/>
          <w:szCs w:val="20"/>
          <w:color w:val="auto"/>
        </w:rPr>
      </w:pPr>
    </w:p>
    <w:p>
      <w:pPr>
        <w:ind w:right="20" w:firstLine="987"/>
        <w:spacing w:after="0" w:line="255"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Merger or Consolidation</w:t>
      </w:r>
      <w:r>
        <w:rPr>
          <w:rFonts w:ascii="Arial" w:cs="Arial" w:eastAsia="Arial" w:hAnsi="Arial"/>
          <w:sz w:val="18"/>
          <w:szCs w:val="18"/>
          <w:color w:val="auto"/>
        </w:rPr>
        <w:t>. Any Person (i) into which the Collateral Agent may be merged or consolidated, (ii) that may result from any merger or consolidation to which the Collateral Agent shall be a party, or (iii) that may succeed to the properties and assets of the Collateral Agent substantially as a whole, which Person in any of the foregoing cases executes an agreement of assumption to perform every obligation of the Collateral Agent hereunder, shall be the successor to the Collateral Agent under this Agreement without further act of any of the parties to this Agreement.</w:t>
      </w:r>
    </w:p>
    <w:p>
      <w:pPr>
        <w:spacing w:after="0" w:line="190" w:lineRule="exact"/>
        <w:rPr>
          <w:sz w:val="20"/>
          <w:szCs w:val="20"/>
          <w:color w:val="auto"/>
        </w:rPr>
      </w:pPr>
    </w:p>
    <w:p>
      <w:pPr>
        <w:ind w:firstLine="987"/>
        <w:spacing w:after="0" w:line="277"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Collateral Agent Compensation</w:t>
      </w:r>
      <w:r>
        <w:rPr>
          <w:rFonts w:ascii="Arial" w:cs="Arial" w:eastAsia="Arial" w:hAnsi="Arial"/>
          <w:sz w:val="17"/>
          <w:szCs w:val="17"/>
          <w:color w:val="auto"/>
        </w:rPr>
        <w:t xml:space="preserve">. As compensation for its Collateral Agent activities hereunder, the Collateral Agent shall be entitled to the Collateral Agent Fees and Collateral Agent Expenses from the Borrower as set forth in the Agent Fee Letter, payable to the extent of funds available therefor pursuant to the provisions of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Collateral Agent’s entitlement to receive the Collateral Agent Fees shall cease on the earlier to occur of: (i) its removal as Collateral Agent pursuant to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or (ii) the termination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60"/>
          </w:cols>
          <w:pgMar w:left="460" w:top="273" w:right="479" w:bottom="1440" w:gutter="0" w:footer="0" w:header="0"/>
        </w:sectPr>
      </w:pPr>
    </w:p>
    <w:bookmarkStart w:id="237" w:name="page238"/>
    <w:bookmarkEnd w:id="237"/>
    <w:p>
      <w:pPr>
        <w:ind w:right="240" w:firstLine="987"/>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11.05 </w:t>
      </w:r>
      <w:r>
        <w:rPr>
          <w:rFonts w:ascii="Arial" w:cs="Arial" w:eastAsia="Arial" w:hAnsi="Arial"/>
          <w:sz w:val="16"/>
          <w:szCs w:val="16"/>
          <w:u w:val="single" w:color="auto"/>
          <w:color w:val="auto"/>
        </w:rPr>
        <w:t>Collateral Agent Removal</w:t>
      </w:r>
      <w:r>
        <w:rPr>
          <w:rFonts w:ascii="Arial" w:cs="Arial" w:eastAsia="Arial" w:hAnsi="Arial"/>
          <w:sz w:val="16"/>
          <w:szCs w:val="16"/>
          <w:color w:val="auto"/>
        </w:rPr>
        <w:t>. The Collateral Agent may be removed, with or without cause, by the Administrative Agent by notice given in writing to the Collateral Agent (the “</w:t>
      </w:r>
      <w:r>
        <w:rPr>
          <w:rFonts w:ascii="Arial" w:cs="Arial" w:eastAsia="Arial" w:hAnsi="Arial"/>
          <w:sz w:val="16"/>
          <w:szCs w:val="16"/>
          <w:u w:val="single" w:color="auto"/>
          <w:color w:val="auto"/>
        </w:rPr>
        <w:t>Collateral Agent Termination Notice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its receipt of a Collateral Agent Termination Notice, the Collateral Agent shall continue to act in such capacity until a successor Collateral Agent has been appointed and has agreed to act as Collateral Agent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Agent shall continue to receive compensation of its fees and expenses in accordance with </w:t>
      </w:r>
      <w:r>
        <w:rPr>
          <w:rFonts w:ascii="Arial" w:cs="Arial" w:eastAsia="Arial" w:hAnsi="Arial"/>
          <w:sz w:val="16"/>
          <w:szCs w:val="16"/>
          <w:u w:val="single" w:color="auto"/>
          <w:color w:val="auto"/>
        </w:rPr>
        <w:t>Section 11.04</w:t>
      </w:r>
      <w:r>
        <w:rPr>
          <w:rFonts w:ascii="Arial" w:cs="Arial" w:eastAsia="Arial" w:hAnsi="Arial"/>
          <w:sz w:val="16"/>
          <w:szCs w:val="16"/>
          <w:color w:val="auto"/>
        </w:rPr>
        <w:t xml:space="preserve"> above while so serving as the Collateral Agent prior to a successor Collateral Agent being appointed.</w:t>
      </w:r>
    </w:p>
    <w:p>
      <w:pPr>
        <w:spacing w:after="0" w:line="159" w:lineRule="exact"/>
        <w:rPr>
          <w:sz w:val="20"/>
          <w:szCs w:val="20"/>
          <w:color w:val="auto"/>
        </w:rPr>
      </w:pPr>
    </w:p>
    <w:p>
      <w:pPr>
        <w:ind w:right="180" w:firstLine="987"/>
        <w:spacing w:after="0" w:line="300"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(a) The Collateral Agent may conclusively rely on and shall be fully protected in acting upon any certificate, instrument, opinion, notice, letter, telegram or other document delivered to it and that in good faith it reasonably believes to be genuine and that has been signed by the proper party or parties. The Collateral Agent may rely conclusively on and shall be fully protected in acting upon (a) the written instructions of any designated officer of the Administrative Agent or (b) the verbal instructions of the Administrative Agent.</w:t>
      </w:r>
    </w:p>
    <w:p>
      <w:pPr>
        <w:spacing w:after="0" w:line="48" w:lineRule="exact"/>
        <w:rPr>
          <w:sz w:val="20"/>
          <w:szCs w:val="20"/>
          <w:color w:val="auto"/>
        </w:rPr>
      </w:pPr>
    </w:p>
    <w:p>
      <w:pPr>
        <w:jc w:val="both"/>
        <w:ind w:right="580" w:firstLine="989"/>
        <w:spacing w:after="0" w:line="262" w:lineRule="auto"/>
        <w:tabs>
          <w:tab w:leader="none" w:pos="1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Collateral Agent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74" w:lineRule="exact"/>
        <w:rPr>
          <w:rFonts w:ascii="Arial" w:cs="Arial" w:eastAsia="Arial" w:hAnsi="Arial"/>
          <w:sz w:val="18"/>
          <w:szCs w:val="18"/>
          <w:color w:val="auto"/>
        </w:rPr>
      </w:pPr>
    </w:p>
    <w:p>
      <w:pPr>
        <w:ind w:right="20" w:firstLine="989"/>
        <w:spacing w:after="0" w:line="262" w:lineRule="auto"/>
        <w:tabs>
          <w:tab w:leader="none" w:pos="123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Collateral Agent shall not be liable for any error of judgment, or for any act done or step taken or omitted by it, in good faith, or for any mistakes of fact or law, or for anything that it may do or refrain from doing in connection herewith except in the case of its willful misconduct or grossly negligent performance or omission of its duties.</w:t>
      </w:r>
    </w:p>
    <w:p>
      <w:pPr>
        <w:spacing w:after="0" w:line="74" w:lineRule="exact"/>
        <w:rPr>
          <w:rFonts w:ascii="Arial" w:cs="Arial" w:eastAsia="Arial" w:hAnsi="Arial"/>
          <w:sz w:val="18"/>
          <w:szCs w:val="18"/>
          <w:color w:val="auto"/>
        </w:rPr>
      </w:pPr>
    </w:p>
    <w:p>
      <w:pPr>
        <w:ind w:firstLine="989"/>
        <w:spacing w:after="0" w:line="274" w:lineRule="auto"/>
        <w:tabs>
          <w:tab w:leader="none" w:pos="12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Collateral Agent makes no warranty or representation and shall have no responsibility (except as expressly set forth in this Agreement) as to the content, enforceability, completeness, validity, sufficiency, value, genuineness, ownership or transferability of the Collateral Portfolio, and will not be required to and will not make any representations as to the validity or value (except as expressly set forth in this Agreement) of any of the Collateral Portfolio. The Collateral Agent shall not be obligated to take any legal action hereunder that might in its judgment involve any expense or liability unless it has been furnished with an indemnity reasonably satisfactory to it.</w:t>
      </w:r>
    </w:p>
    <w:p>
      <w:pPr>
        <w:spacing w:after="0" w:line="66" w:lineRule="exact"/>
        <w:rPr>
          <w:rFonts w:ascii="Arial" w:cs="Arial" w:eastAsia="Arial" w:hAnsi="Arial"/>
          <w:sz w:val="17"/>
          <w:szCs w:val="17"/>
          <w:color w:val="auto"/>
        </w:rPr>
      </w:pPr>
    </w:p>
    <w:p>
      <w:pPr>
        <w:ind w:right="60" w:firstLine="989"/>
        <w:spacing w:after="0" w:line="253" w:lineRule="auto"/>
        <w:tabs>
          <w:tab w:leader="none" w:pos="123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Collateral Agent shall have no duties or responsibilities except such duties and responsibilities as are specifically set forth in this Agreement and no covenants or obligations shall be implied in this Agreement against the Collateral Agent. Notwithstanding any provision to the contrary elsewhere in the Transaction Documents, the Collateral Agent shall not have any fiduciary relationship with any party hereto or any Secured Party in its capacity as such, and no implied covenants, functions, obligations or responsibilities shall be read into this Agreement, the other Transaction Documents or otherwise exist against the Collateral Agent. Without limiting the generality of the foregoing, it is hereby expressly agreed and stipulated by the other parties hereto that the Collateral Agent shall not be required to exercise any discretion hereunder and shall have no investment or management responsibility.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0960"/>
          </w:cols>
          <w:pgMar w:left="460" w:top="273" w:right="479" w:bottom="1440" w:gutter="0" w:footer="0" w:header="0"/>
        </w:sectPr>
      </w:pPr>
    </w:p>
    <w:bookmarkStart w:id="238" w:name="page239"/>
    <w:bookmarkEnd w:id="238"/>
    <w:p>
      <w:pPr>
        <w:ind w:left="1220" w:hanging="231"/>
        <w:spacing w:after="0"/>
        <w:tabs>
          <w:tab w:leader="none" w:pos="12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Collateral Agent shall not be required to expend or risk its own funds in the performance of its duties hereunder.</w:t>
      </w:r>
    </w:p>
    <w:p>
      <w:pPr>
        <w:spacing w:after="0" w:line="115" w:lineRule="exact"/>
        <w:rPr>
          <w:rFonts w:ascii="Arial" w:cs="Arial" w:eastAsia="Arial" w:hAnsi="Arial"/>
          <w:sz w:val="18"/>
          <w:szCs w:val="18"/>
          <w:color w:val="auto"/>
        </w:rPr>
      </w:pPr>
    </w:p>
    <w:p>
      <w:pPr>
        <w:ind w:right="120" w:firstLine="989"/>
        <w:spacing w:after="0" w:line="275" w:lineRule="auto"/>
        <w:tabs>
          <w:tab w:leader="none" w:pos="12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Collateral Agent is not guaranteeing performance of or assuming any liability for the obligations of the other parties hereto or any parties to the Collateral Portfolio.</w:t>
      </w:r>
    </w:p>
    <w:p>
      <w:pPr>
        <w:spacing w:after="0" w:line="63" w:lineRule="exact"/>
        <w:rPr>
          <w:rFonts w:ascii="Arial" w:cs="Arial" w:eastAsia="Arial" w:hAnsi="Arial"/>
          <w:sz w:val="18"/>
          <w:szCs w:val="18"/>
          <w:color w:val="auto"/>
        </w:rPr>
      </w:pPr>
    </w:p>
    <w:p>
      <w:pPr>
        <w:ind w:firstLine="989"/>
        <w:spacing w:after="0" w:line="290" w:lineRule="auto"/>
        <w:tabs>
          <w:tab w:leader="none" w:pos="12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 xml:space="preserve">Subject in all cases to the last sentence of </w:t>
      </w:r>
      <w:r>
        <w:rPr>
          <w:rFonts w:ascii="Arial" w:cs="Arial" w:eastAsia="Arial" w:hAnsi="Arial"/>
          <w:sz w:val="16"/>
          <w:szCs w:val="16"/>
          <w:u w:val="single" w:color="auto"/>
          <w:color w:val="auto"/>
        </w:rPr>
        <w:t>Section 2.05</w:t>
      </w:r>
      <w:r>
        <w:rPr>
          <w:rFonts w:ascii="Arial" w:cs="Arial" w:eastAsia="Arial" w:hAnsi="Arial"/>
          <w:sz w:val="16"/>
          <w:szCs w:val="16"/>
          <w:color w:val="auto"/>
        </w:rPr>
        <w:t>, in case any reasonable question arises as to its duties hereunder, the Collateral Agent may, prior to the occurrence of an Event of Default or the Final Maturity Date, request instructions from the Servicer and may, after the occurrence of an Event of Default or the Final Maturity Date, request instructions from the Administrative Agent, and shall be entitled at all times to refrain from taking any action unless it has received instructions from the Servicer or the Administrative Agent, as applicable. The Collateral Agent shall in all events have no liability, risk or cost for any action taken pursuant to and in compliance with the instruction of the Administrative Agent. In no event shall the Collateral Agent be liable for special, indirect or consequential loss or damage of any kind whatsoever (including but not limited to lost profits), even if the Collateral Agent has been advised of the likelihood of such loss or damage and regardless of the form of action.</w:t>
      </w:r>
    </w:p>
    <w:p>
      <w:pPr>
        <w:spacing w:after="0" w:line="56" w:lineRule="exact"/>
        <w:rPr>
          <w:rFonts w:ascii="Arial" w:cs="Arial" w:eastAsia="Arial" w:hAnsi="Arial"/>
          <w:sz w:val="16"/>
          <w:szCs w:val="16"/>
          <w:color w:val="auto"/>
        </w:rPr>
      </w:pPr>
    </w:p>
    <w:p>
      <w:pPr>
        <w:ind w:right="320" w:firstLine="989"/>
        <w:spacing w:after="0" w:line="262" w:lineRule="auto"/>
        <w:tabs>
          <w:tab w:leader="none" w:pos="120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Collateral Agent shall not be liable for the acts or omissions of the Collateral Custodian under this Agreement and shall not be required to monitor the performance of the Collateral Custodian. Notwithstanding anything herein to the contrary, the Collateral Agent shall have no duty to perform any of the duties of the Collateral Custodian under this Agreement.</w:t>
      </w:r>
    </w:p>
    <w:p>
      <w:pPr>
        <w:spacing w:after="0" w:line="182" w:lineRule="exact"/>
        <w:rPr>
          <w:sz w:val="20"/>
          <w:szCs w:val="20"/>
          <w:color w:val="auto"/>
        </w:rPr>
      </w:pPr>
    </w:p>
    <w:p>
      <w:pPr>
        <w:ind w:right="40" w:firstLine="987"/>
        <w:spacing w:after="0" w:line="287"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Collateral Agent Resignation</w:t>
      </w:r>
      <w:r>
        <w:rPr>
          <w:rFonts w:ascii="Arial" w:cs="Arial" w:eastAsia="Arial" w:hAnsi="Arial"/>
          <w:sz w:val="16"/>
          <w:szCs w:val="16"/>
          <w:color w:val="auto"/>
        </w:rPr>
        <w:t>. The Collateral Agent may resign at any time by giving not less than 90 days written notice thereof to the Administrative Agent and with the consent of the Administrative Agent, which consent shall not be unreasonably withheld (and, so long as no Event of Event of Default or Unmatured Event of Default is then continuing, with the consent of the Borrower, such consent not to be unreasonably withheld). Upon receiving such notice of resignation, the Administrative Agent (acting at the direction of the Majority Lenders) shall promptly appoint a successor collateral agent or collateral agents by written instrument, in duplicate, executed by the Administrative Agent, one copy of which shall be delivered to the Collateral Agent so resigning and one copy to the successor collateral agent or collateral agents, together with a copy to the Borrower, Servicer and Collateral Custodian. If no successor collateral agent shall have been appointed and an instrument of acceptance by a successor Collateral Agent shall not have been delivered to the Collateral Agent within 45 days after the giving of such notice of resignation, the resigning Collateral Agent may petition any court of competent jurisdiction for the appointment of a successor Collateral Agent. Notwithstanding anything herein to the contrary, the Collateral Agent may not resign prior to a successor Collateral Agent being appointed.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60"/>
          </w:cols>
          <w:pgMar w:left="460" w:top="273" w:right="47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ARTICLE XII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firstLine="987"/>
        <w:spacing w:after="0" w:line="253"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(a) (i) No amendment or modification of any provision of this Agreement shall be effective without the written agreement of the Borrower, the Servicer, the Required Lenders and, solely if such amendment or modification would adversely affect the rights and obligations of the Administrative Agent, the Collateral Agent, the Backup Servicer, the Account Bank or the Collateral Custodian, the written agreement of the Administrative Agent, the Collateral Agent, the Account Bank, the Backup Servicer or the Collateral Custodian, as applicable and (ii) no termination or waiver of any provision of this Agreement or consent to any departure therefrom by the Borrower or the Servicer shall be effective without the written concurrence of the Administrative Agent and the Required Lenders. Any waiver or consent shall be effective only in the specific instance and for the specific purpose for which given.</w:t>
      </w:r>
    </w:p>
    <w:p>
      <w:pPr>
        <w:spacing w:after="0" w:line="85" w:lineRule="exact"/>
        <w:rPr>
          <w:sz w:val="20"/>
          <w:szCs w:val="20"/>
          <w:color w:val="auto"/>
        </w:rPr>
      </w:pPr>
    </w:p>
    <w:p>
      <w:pPr>
        <w:ind w:firstLine="989"/>
        <w:spacing w:after="0" w:line="282" w:lineRule="auto"/>
        <w:tabs>
          <w:tab w:leader="none" w:pos="124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Section 12.01(a)</w:t>
      </w:r>
      <w:r>
        <w:rPr>
          <w:rFonts w:ascii="Arial" w:cs="Arial" w:eastAsia="Arial" w:hAnsi="Arial"/>
          <w:sz w:val="16"/>
          <w:szCs w:val="16"/>
          <w:color w:val="auto"/>
        </w:rPr>
        <w:t xml:space="preserve">, the written consent of all of the Lenders holding Commitments shall be required for any amendment, modification or waiver (i) reducing any outstanding Advances, or the Yield (or the rate of the Yield) thereon, any prepayment required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any fees or other amounts due to the Lenders (or any of them), (ii) waiving or postponing any date for any payment of any Advance, or the Yield thereon, any prepayment required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or any fees or other amounts due to the Lenders (or any of them), (iii) modifying the provisions of this </w:t>
      </w:r>
      <w:r>
        <w:rPr>
          <w:rFonts w:ascii="Arial" w:cs="Arial" w:eastAsia="Arial" w:hAnsi="Arial"/>
          <w:sz w:val="16"/>
          <w:szCs w:val="16"/>
          <w:u w:val="single" w:color="auto"/>
          <w:color w:val="auto"/>
        </w:rPr>
        <w:t>Section 12.01</w:t>
      </w:r>
      <w:r>
        <w:rPr>
          <w:rFonts w:ascii="Arial" w:cs="Arial" w:eastAsia="Arial" w:hAnsi="Arial"/>
          <w:sz w:val="16"/>
          <w:szCs w:val="16"/>
          <w:color w:val="auto"/>
        </w:rPr>
        <w:t xml:space="preserve"> or any other provision hereof specifying the number or percentage of Lenders required to amend, waive or otherwise modify any rights hereunder or make any determination or grant any consent hereunder, (iv) extending the Scheduled Commitment Termination Date or the Scheduled Maturity Date, (v) of any of the following defined terms (and any defined terms used in calculating any of the following defined terms): Borrowing Base, Collateral Quality Test, Concentration Limits, Eligible Loan Asset, Minimum Credit Enhancement, Value Adjustment Event, Weighted Average Life Test, or Weighted Average Spread Test, (vi) modifying the provisions of </w:t>
      </w:r>
      <w:r>
        <w:rPr>
          <w:rFonts w:ascii="Arial" w:cs="Arial" w:eastAsia="Arial" w:hAnsi="Arial"/>
          <w:sz w:val="16"/>
          <w:szCs w:val="16"/>
          <w:u w:val="single" w:color="auto"/>
          <w:color w:val="auto"/>
        </w:rPr>
        <w:t>Section 12.17</w:t>
      </w:r>
      <w:r>
        <w:rPr>
          <w:rFonts w:ascii="Arial" w:cs="Arial" w:eastAsia="Arial" w:hAnsi="Arial"/>
          <w:sz w:val="16"/>
          <w:szCs w:val="16"/>
          <w:color w:val="auto"/>
        </w:rPr>
        <w:t xml:space="preserve"> hereof or any related definitions or provisions that would alter the order of application of proceeds or would alter the pro rata sharing of payments required thereby,</w:t>
      </w:r>
    </w:p>
    <w:p>
      <w:pPr>
        <w:spacing w:after="0" w:line="2" w:lineRule="exact"/>
        <w:rPr>
          <w:rFonts w:ascii="Arial" w:cs="Arial" w:eastAsia="Arial" w:hAnsi="Arial"/>
          <w:sz w:val="16"/>
          <w:szCs w:val="16"/>
          <w:color w:val="auto"/>
        </w:rPr>
      </w:pPr>
    </w:p>
    <w:p>
      <w:pPr>
        <w:ind w:right="160" w:firstLine="2"/>
        <w:spacing w:after="0" w:line="258" w:lineRule="auto"/>
        <w:tabs>
          <w:tab w:leader="none" w:pos="353"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of any provision of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(viii) except in connection with the exercise of remedies hereunder or under any other Transaction Documents and as may otherwise be specifically set forth herein, releasing all or substantially all of the Collateral Portfolio.</w:t>
      </w:r>
    </w:p>
    <w:p>
      <w:pPr>
        <w:spacing w:after="0" w:line="77" w:lineRule="exact"/>
        <w:rPr>
          <w:rFonts w:ascii="Arial" w:cs="Arial" w:eastAsia="Arial" w:hAnsi="Arial"/>
          <w:sz w:val="18"/>
          <w:szCs w:val="18"/>
          <w:color w:val="auto"/>
        </w:rPr>
      </w:pPr>
    </w:p>
    <w:p>
      <w:pPr>
        <w:ind w:right="280" w:firstLine="989"/>
        <w:spacing w:after="0" w:line="262" w:lineRule="auto"/>
        <w:tabs>
          <w:tab w:leader="none" w:pos="123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Administrative Agent shall provide S&amp;P with a copy of any amendment, restatement, supplement or other modification of this Agreement or any of the other Transaction Documents as long as the transaction is funded in a Conduit Lender and the commercial paper of which is rated by S&amp;P.</w:t>
      </w:r>
    </w:p>
    <w:p>
      <w:pPr>
        <w:spacing w:after="0" w:line="74" w:lineRule="exact"/>
        <w:rPr>
          <w:rFonts w:ascii="Arial" w:cs="Arial" w:eastAsia="Arial" w:hAnsi="Arial"/>
          <w:sz w:val="18"/>
          <w:szCs w:val="18"/>
          <w:color w:val="auto"/>
        </w:rPr>
      </w:pPr>
    </w:p>
    <w:p>
      <w:pPr>
        <w:jc w:val="both"/>
        <w:ind w:right="320" w:firstLine="989"/>
        <w:spacing w:after="0" w:line="286" w:lineRule="auto"/>
        <w:tabs>
          <w:tab w:leader="none" w:pos="12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Defaulting Lender shall have any right to approve or vote on any amendment, waiver or consent hereunder, except for an amendment (i) extending the Scheduled Commitment Termination Date or the Scheduled Maturity Date, (ii) reducing the principal due to such Defaulting Lender, (iii) extending or increasing the Commitment of such Defaulting Lender, or</w:t>
      </w:r>
    </w:p>
    <w:p>
      <w:pPr>
        <w:spacing w:after="0" w:line="1" w:lineRule="exact"/>
        <w:rPr>
          <w:rFonts w:ascii="Arial" w:cs="Arial" w:eastAsia="Arial" w:hAnsi="Arial"/>
          <w:sz w:val="16"/>
          <w:szCs w:val="16"/>
          <w:color w:val="auto"/>
        </w:rPr>
      </w:pPr>
    </w:p>
    <w:p>
      <w:pPr>
        <w:ind w:left="300" w:hanging="298"/>
        <w:spacing w:after="0"/>
        <w:tabs>
          <w:tab w:leader="none" w:pos="30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any matter that affects a Defaulting Lender more adversely than other Lenders, in each case, without the consent of such Defaulting Lender.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960"/>
          </w:cols>
          <w:pgMar w:left="460" w:top="269" w:right="479" w:bottom="1440" w:gutter="0" w:footer="0" w:header="0"/>
        </w:sectPr>
      </w:pPr>
    </w:p>
    <w:bookmarkStart w:id="240" w:name="page241"/>
    <w:bookmarkEnd w:id="240"/>
    <w:p>
      <w:pPr>
        <w:ind w:firstLine="987"/>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12.02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hereunder shall, unless otherwise stated herein, be in writing (which shall include facsimile communication and communication by e-mail), e-mailed or delivered, to each party hereto, at its address set forth below:</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Borrower: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SUNS SPV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Park Avenue, 5th Floor</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Richard Peteka</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No.: (212) 993-1660</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Servicer: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Merger: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SLR SENIOR INVESTMENT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Park Avenue, 5th Floor</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Richard Peteka</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No.: (212) 993-1660</w:t>
      </w:r>
    </w:p>
    <w:p>
      <w:pPr>
        <w:spacing w:after="0" w:line="1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On and after the Merger: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SLR INVESTMENT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Park Avenue, 5th Floor</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Richard Peteka</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No.: (212) 993-1660</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Transferor: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Prior to the Merger: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SLR SENIOR INVESTMENT CORP.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500 Park Avenue, 5th Floor</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Richard Peteka</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Phone No.: (212) 993-1660</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640"/>
          </w:cols>
          <w:pgMar w:left="460" w:top="273" w:right="7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On and after the Merger: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SLR INVESTMENT CORP.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500 Park Avenue, 5th Floor</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10022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Richard Peteka</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Phone No.: (212) 993-1660</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(with respect to the Borrower, the Servicer and the Transferor):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Dominic K.L. Yoong, Esq.</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355 South Grand Avenue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Los Angeles, California 90071</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dominic.yoong@lw.com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9019"/>
          </w:cols>
          <w:pgMar w:left="1440" w:top="273" w:right="1440"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If to the Lender: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 Global ABS Financing &amp; Securitization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conduitoperations@citi.com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If to the Collateral Agent: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 Global ABS Financing &amp; Securitization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conduitoperations@citi.com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If to the Administrative Agent</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 Global ABS Financing &amp; Securitization</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conduitoperations@citi.com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9019"/>
          </w:cols>
          <w:pgMar w:left="1440" w:top="273" w:right="1440" w:bottom="1440" w:gutter="0" w:footer="0" w:header="0"/>
        </w:sectPr>
      </w:pPr>
    </w:p>
    <w:bookmarkStart w:id="243" w:name="page244"/>
    <w:bookmarkEnd w:id="2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With a copy to (with respect to the Collateral Agent and Administrative Agent):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Cadwalader, Wickersham &amp; Taft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West Trade Street</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NC 28202</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Nathan.Spanheimer@cwt.com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If to the Account Bank:</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600 S 4th Street, MAC N9300-061</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Minneapolis, MN 55479</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ctsabsservicer@wellsfargo.com</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9062 Old Annapolis Road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Columbia, MD 21045</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If to the Collateral Custodian:</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600 S 4th Street, MAC N9300-061</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Minneapolis, MN 55479</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ctsabsservicer@wellsfargo.com</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9062 Old Annapolis Road</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Columbia, MD 21045</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9019"/>
          </w:cols>
          <w:pgMar w:left="1440" w:top="273" w:right="1440" w:bottom="1440" w:gutter="0" w:footer="0" w:header="0"/>
        </w:sectPr>
      </w:pPr>
    </w:p>
    <w:bookmarkStart w:id="244" w:name="page245"/>
    <w:bookmarkEnd w:id="24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With a copy to:</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Citi – Global ABS Financing &amp; Securitization</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1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conduitoperations@citi.com</w:t>
      </w:r>
    </w:p>
    <w:p>
      <w:pPr>
        <w:spacing w:after="0" w:line="10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Backup Servicer:</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600 S 4th Street, MAC N9300-061</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Minneapolis, MN 55479</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ctsabsservicer@wellsfargo.com</w:t>
      </w:r>
    </w:p>
    <w:p>
      <w:pPr>
        <w:spacing w:after="0" w:line="1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9062 Old Annapolis Road</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Columbia, MD 21045</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Corporate Trust Services — Solar Senior Capital Ltd.</w:t>
      </w:r>
    </w:p>
    <w:p>
      <w:pPr>
        <w:spacing w:after="0" w:line="2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or at such other address as shall be designated by such party in a written notice to the other parties hereto. Notices and communications by e-mail shall be effective when sent (and shall be followed by hard copy sent by regular mail), and notices and communications sent by other means shall be effective when received.</w:t>
      </w:r>
    </w:p>
    <w:p>
      <w:pPr>
        <w:spacing w:after="0" w:line="182" w:lineRule="exact"/>
        <w:rPr>
          <w:sz w:val="20"/>
          <w:szCs w:val="20"/>
          <w:color w:val="auto"/>
        </w:rPr>
      </w:pPr>
    </w:p>
    <w:p>
      <w:pPr>
        <w:ind w:right="180" w:firstLine="987"/>
        <w:spacing w:after="0" w:line="258"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u w:val="single" w:color="auto"/>
          <w:color w:val="auto"/>
        </w:rPr>
        <w:t>No Waiver Remedies</w:t>
      </w:r>
      <w:r>
        <w:rPr>
          <w:rFonts w:ascii="Arial" w:cs="Arial" w:eastAsia="Arial" w:hAnsi="Arial"/>
          <w:sz w:val="18"/>
          <w:szCs w:val="18"/>
          <w:color w:val="auto"/>
        </w:rPr>
        <w:t>. No failure on the part of the Administrative Agent, the Collateral Agent, any Lender or any Lender Agent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85"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Binding Effect; Assignability; Multiple Lenders</w:t>
      </w:r>
      <w:r>
        <w:rPr>
          <w:rFonts w:ascii="Arial" w:cs="Arial" w:eastAsia="Arial" w:hAnsi="Arial"/>
          <w:sz w:val="18"/>
          <w:szCs w:val="18"/>
          <w:color w:val="auto"/>
        </w:rPr>
        <w:t>. (a) This Agreement shall be binding upon and inure to the benefit of the Borrower, the Servicer, the Administrative Agent, each Lender, the Lender Agents, the Collateral Agent, the Account Bank, the Collateral Custodian and their respective successors and permitted assigns. Each Lender and their respective successors and assigns may assign, or grant a security interest or sell a participation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60"/>
          </w:cols>
          <w:pgMar w:left="460" w:top="273" w:right="479" w:bottom="1440" w:gutter="0" w:footer="0" w:header="0"/>
        </w:sectPr>
      </w:pPr>
    </w:p>
    <w:bookmarkStart w:id="245" w:name="page246"/>
    <w:bookmarkEnd w:id="24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interest in, (i) this Agreement and such Lender’s rights and obligations hereunder and interest herein in whole or in part (including by way of the sale of participation interests therein) or (ii) any Advance (or portion thereof) or any Revolving Note (or any portion thereof) to any Eligible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 Event of Default, consent of the Borrower (such consent not to be unreasonably withheld) shall be required for (x) a Liquidity Bank to assign to any Person that is not a Liquidity Bank or an Affiliate of a Liquidity Bank or (y) an Institutional Lender to assign to any Person that is not an Affiliate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a Conduit Lender may at any time pledge or grant a security interest or Lien in all or any portion of its rights under this Agreement to secure any obligations of such Conduit Lender, without notice to or consent of the Borrower, the Servicer or any other Person so long as such pledge or grant of a security interest or Lien shall not release such Conduit Lender from any of its obligations hereunder, or substitute any such pledgee or grantee for such Conduit Lender as a party hereto. Any such assignee shall execute and deliver to the Servicer, the Borrower and the Administrative Agent a fully-executed Transferee Letter substantially in the form of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(a “</w:t>
      </w:r>
      <w:r>
        <w:rPr>
          <w:rFonts w:ascii="Arial" w:cs="Arial" w:eastAsia="Arial" w:hAnsi="Arial"/>
          <w:sz w:val="16"/>
          <w:szCs w:val="16"/>
          <w:u w:val="single" w:color="auto"/>
          <w:color w:val="auto"/>
        </w:rPr>
        <w:t>Transferee Letter</w:t>
      </w:r>
      <w:r>
        <w:rPr>
          <w:rFonts w:ascii="Arial" w:cs="Arial" w:eastAsia="Arial" w:hAnsi="Arial"/>
          <w:sz w:val="16"/>
          <w:szCs w:val="16"/>
          <w:color w:val="auto"/>
        </w:rPr>
        <w:t>”) and a fully-executed Joinder Supplement. The parties to any such assignment, grant or sale of a participation interest shall execute and deliver to the related Lender Agent for its acceptance and recording in its books and records, such agreement or document as may be satisfactory to such parties and the applicable Lender Agent. None of the Borrower, the Transferor or the Servicer may assign, or permit any Lien to exist upon, any of its rights or obligations hereunder or under any Transaction Document or any interest herein or in any Transaction Document without the prior written consent of each Lender Agent and the Administrative Agent. Nothing in this Agreement, the Transferee Letter or Joinder Supplement can restrict or delay a Conduit Lender’s ability to assign its interests hereunder to its Liquidity Bank or an Affiliate.</w:t>
      </w:r>
    </w:p>
    <w:p>
      <w:pPr>
        <w:spacing w:after="0" w:line="67" w:lineRule="exact"/>
        <w:rPr>
          <w:sz w:val="20"/>
          <w:szCs w:val="20"/>
          <w:color w:val="auto"/>
        </w:rPr>
      </w:pPr>
    </w:p>
    <w:p>
      <w:pPr>
        <w:ind w:right="120" w:firstLine="989"/>
        <w:spacing w:after="0" w:line="295" w:lineRule="auto"/>
        <w:tabs>
          <w:tab w:leader="none" w:pos="12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this </w:t>
      </w:r>
      <w:r>
        <w:rPr>
          <w:rFonts w:ascii="Arial" w:cs="Arial" w:eastAsia="Arial" w:hAnsi="Arial"/>
          <w:sz w:val="16"/>
          <w:szCs w:val="16"/>
          <w:u w:val="single" w:color="auto"/>
          <w:color w:val="auto"/>
        </w:rPr>
        <w:t>Section 12.04</w:t>
      </w:r>
      <w:r>
        <w:rPr>
          <w:rFonts w:ascii="Arial" w:cs="Arial" w:eastAsia="Arial" w:hAnsi="Arial"/>
          <w:sz w:val="16"/>
          <w:szCs w:val="16"/>
          <w:color w:val="auto"/>
        </w:rPr>
        <w:t xml:space="preserve">, any Lender may at any time pledge or grant a security interest in all or any portion of its rights (including, without limitation, rights to payment of principal and interest) under this Agreement or under a Liquidity Agreement to secure obligations of such Lender to a Federal Reserve Bank or any central bank, without notice to or consent of the Borrower or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grant of a security interest shall release such Lender from any of its obligations hereunder or under such Liquidity Agreement, or substitute any such pledgee or grantee for such Lender as a party hereto or to such Liquidity Agreement, as the case may be.</w:t>
      </w:r>
    </w:p>
    <w:p>
      <w:pPr>
        <w:spacing w:after="0" w:line="51" w:lineRule="exact"/>
        <w:rPr>
          <w:rFonts w:ascii="Arial" w:cs="Arial" w:eastAsia="Arial" w:hAnsi="Arial"/>
          <w:sz w:val="16"/>
          <w:szCs w:val="16"/>
          <w:color w:val="auto"/>
        </w:rPr>
      </w:pPr>
    </w:p>
    <w:p>
      <w:pPr>
        <w:ind w:right="80" w:firstLine="989"/>
        <w:spacing w:after="0" w:line="287" w:lineRule="auto"/>
        <w:tabs>
          <w:tab w:leader="none" w:pos="123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If a Lender (i) is a Defaulting Lender, (ii) fails to give its consent to any amendment, waiver or action for which consent of all Lenders was required and the Majority Lenders consented (whether pursuant to </w:t>
      </w:r>
      <w:r>
        <w:rPr>
          <w:rFonts w:ascii="Arial" w:cs="Arial" w:eastAsia="Arial" w:hAnsi="Arial"/>
          <w:sz w:val="16"/>
          <w:szCs w:val="16"/>
          <w:u w:val="single" w:color="auto"/>
          <w:color w:val="auto"/>
        </w:rPr>
        <w:t>Section 12.01</w:t>
      </w:r>
      <w:r>
        <w:rPr>
          <w:rFonts w:ascii="Arial" w:cs="Arial" w:eastAsia="Arial" w:hAnsi="Arial"/>
          <w:sz w:val="16"/>
          <w:szCs w:val="16"/>
          <w:color w:val="auto"/>
        </w:rPr>
        <w:t xml:space="preserve"> or otherwise), or (iii) requests that the Administrative Agent deliver a demand for payment by the Borrower of amounts payable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then, in addition to any other rights and remedies that any Person may have, the Borrower may, by notice to the applicable Lender Agent within 120 days after such event (with a copy of such notice concurrently delivered to the Administrative Agent), require such Lender Group to assign all of its rights and obligations under the Transaction Documents to one or more Eligible Assignees specified by the Borrower or the Administrative Agent within 20 days after the Borrower’s notice. The Administrative Agent is irrevocably appointed as attorney-in-fact to execute any such assignment if any member of the affected Lender Group fails to execute same. The affected Lender Agent on behalf of the Lender Group shall be entitled to receive, in cash, concurrently with such assignment, all amounts owed to it under the Transaction Documents, including all principal, interest and fees through the date of assignment (and including, for the avoidance of doubt, any amounts payable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request for which resulted in the application of this </w:t>
      </w:r>
      <w:r>
        <w:rPr>
          <w:rFonts w:ascii="Arial" w:cs="Arial" w:eastAsia="Arial" w:hAnsi="Arial"/>
          <w:sz w:val="16"/>
          <w:szCs w:val="16"/>
          <w:u w:val="single" w:color="auto"/>
          <w:color w:val="auto"/>
        </w:rPr>
        <w:t>Section 12.04(c)</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0960"/>
          </w:cols>
          <w:pgMar w:left="460" w:top="273" w:right="479" w:bottom="1440" w:gutter="0" w:footer="0" w:header="0"/>
        </w:sectPr>
      </w:pPr>
    </w:p>
    <w:bookmarkStart w:id="246" w:name="page247"/>
    <w:bookmarkEnd w:id="24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 Each Affected Party and each Indemnified Party shall be an express third party beneficiary of this Agreement.</w:t>
      </w:r>
    </w:p>
    <w:p>
      <w:pPr>
        <w:spacing w:after="0" w:line="223" w:lineRule="exact"/>
        <w:rPr>
          <w:sz w:val="20"/>
          <w:szCs w:val="20"/>
          <w:color w:val="auto"/>
        </w:rPr>
      </w:pPr>
    </w:p>
    <w:p>
      <w:pPr>
        <w:ind w:firstLine="987"/>
        <w:spacing w:after="0" w:line="254" w:lineRule="auto"/>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Term of This Agreement</w:t>
      </w:r>
      <w:r>
        <w:rPr>
          <w:rFonts w:ascii="Arial" w:cs="Arial" w:eastAsia="Arial" w:hAnsi="Arial"/>
          <w:sz w:val="18"/>
          <w:szCs w:val="18"/>
          <w:color w:val="auto"/>
        </w:rPr>
        <w:t xml:space="preserve">. This Agreement, including, without limitation, the Borrower’s representations and covenants set forth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the Servicer’s representations, covenants and duties set forth in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shall remain in full force and effect until the Collection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rights and remedies with respect to any breach of any representation and warranty made or deemed made by the Borrower or the Servicer pursuant to </w:t>
      </w:r>
      <w:r>
        <w:rPr>
          <w:rFonts w:ascii="Arial" w:cs="Arial" w:eastAsia="Arial" w:hAnsi="Arial"/>
          <w:sz w:val="18"/>
          <w:szCs w:val="18"/>
          <w:u w:val="single" w:color="auto"/>
          <w:color w:val="auto"/>
        </w:rPr>
        <w:t>Articles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the indemnification and payment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12.07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12.08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12.09</w:t>
      </w:r>
      <w:r>
        <w:rPr>
          <w:rFonts w:ascii="Arial" w:cs="Arial" w:eastAsia="Arial" w:hAnsi="Arial"/>
          <w:sz w:val="18"/>
          <w:szCs w:val="18"/>
          <w:color w:val="auto"/>
        </w:rPr>
        <w:t xml:space="preserve"> shall be continuing and shall survive any termination of this Agreement.</w:t>
      </w:r>
    </w:p>
    <w:p>
      <w:pPr>
        <w:spacing w:after="0" w:line="191" w:lineRule="exact"/>
        <w:rPr>
          <w:sz w:val="20"/>
          <w:szCs w:val="20"/>
          <w:color w:val="auto"/>
        </w:rPr>
      </w:pPr>
    </w:p>
    <w:p>
      <w:pPr>
        <w:ind w:right="200" w:firstLine="987"/>
        <w:spacing w:after="0" w:line="255"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GOVERNING LAW; JURY WAIVER</w:t>
      </w:r>
      <w:r>
        <w:rPr>
          <w:rFonts w:ascii="Arial" w:cs="Arial" w:eastAsia="Arial" w:hAnsi="Arial"/>
          <w:sz w:val="18"/>
          <w:szCs w:val="18"/>
          <w:color w:val="auto"/>
        </w:rPr>
        <w:t>. 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w:t>
      </w:r>
    </w:p>
    <w:p>
      <w:pPr>
        <w:spacing w:after="0" w:line="190" w:lineRule="exact"/>
        <w:rPr>
          <w:sz w:val="20"/>
          <w:szCs w:val="20"/>
          <w:color w:val="auto"/>
        </w:rPr>
      </w:pPr>
    </w:p>
    <w:p>
      <w:pPr>
        <w:ind w:firstLine="987"/>
        <w:spacing w:after="0" w:line="284" w:lineRule="auto"/>
        <w:rPr>
          <w:sz w:val="20"/>
          <w:szCs w:val="20"/>
          <w:color w:val="auto"/>
        </w:rPr>
      </w:pPr>
      <w:r>
        <w:rPr>
          <w:rFonts w:ascii="Arial" w:cs="Arial" w:eastAsia="Arial" w:hAnsi="Arial"/>
          <w:sz w:val="16"/>
          <w:szCs w:val="16"/>
          <w:color w:val="auto"/>
        </w:rPr>
        <w:t xml:space="preserve">Section 12.07 </w:t>
      </w:r>
      <w:r>
        <w:rPr>
          <w:rFonts w:ascii="Arial" w:cs="Arial" w:eastAsia="Arial" w:hAnsi="Arial"/>
          <w:sz w:val="16"/>
          <w:szCs w:val="16"/>
          <w:u w:val="single" w:color="auto"/>
          <w:color w:val="auto"/>
        </w:rPr>
        <w:t>Costs, Expenses and Taxes</w:t>
      </w:r>
      <w:r>
        <w:rPr>
          <w:rFonts w:ascii="Arial" w:cs="Arial" w:eastAsia="Arial" w:hAnsi="Arial"/>
          <w:sz w:val="16"/>
          <w:szCs w:val="16"/>
          <w:color w:val="auto"/>
        </w:rPr>
        <w:t xml:space="preserve">. (a) In addition to the rights of indemnification granted to the Collateral Agent, the Account Bank, the Backup Servicer, the Administrative Agent, the Lenders, the Lender Agents, the Collateral Custodian and their respective Affiliates under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hereof, each of the Borrower, the Servicer and the Transferor agrees to pay on demand all reasonable out-of-pocket costs and expenses of the Administrative Agent, the Lenders, the Lender Agents, the Collateral Agent, the Account Bank, the Backup Servicer and the Collateral Custodian incurred in connection with the preparation, execution, delivery, administration (including due diligence and periodic auditing and inspections incurred in connection with </w:t>
      </w:r>
      <w:r>
        <w:rPr>
          <w:rFonts w:ascii="Arial" w:cs="Arial" w:eastAsia="Arial" w:hAnsi="Arial"/>
          <w:sz w:val="16"/>
          <w:szCs w:val="16"/>
          <w:u w:val="single" w:color="auto"/>
          <w:color w:val="auto"/>
        </w:rPr>
        <w:t>clauses (h)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following an Event of Default or Servicer Replacement Event and all other related fees and expenses), renewal, amendment or modification of, any waiver or consent issued in connection with, this Agreement, the Transaction Documents and the other documents to be delivered hereunder or in connection herewith, including, without limitation, the reasonable fees and out-of-pocket expenses of counsel for the Administrative Agent, the Lenders, the Lender Agents, the Collateral Agent, the Account Bank, the Backup Servicer and the Collateral Custodian with respect thereto and with respect to advising the Administrative Agent, the Lenders, the Lender Agents, the Collateral Agent, the Account Bank and the Collateral Custodian as to their respective rights and remedies under this Agreement and the other documents to be delivered hereunder or in connection herewith, and all reasonable out-of-pocket costs and expenses, if any (including counsel fees and expenses), incurred by the Administrative Agent, the Lenders, the Lender Agents, the Collateral Agent, the Account Bank, the Backup Servicer or the Collateral Custodian in connection with the enforcement or potential enforcement of this Agreement or any Transaction Document by such Person and the other documents to be delivered hereunder or in connection herewith.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40"/>
          </w:cols>
          <w:pgMar w:left="460" w:top="273" w:right="499" w:bottom="1440" w:gutter="0" w:footer="0" w:header="0"/>
        </w:sectPr>
      </w:pPr>
    </w:p>
    <w:bookmarkStart w:id="247" w:name="page248"/>
    <w:bookmarkEnd w:id="247"/>
    <w:p>
      <w:pPr>
        <w:ind w:firstLine="989"/>
        <w:spacing w:after="0" w:line="258" w:lineRule="auto"/>
        <w:tabs>
          <w:tab w:leader="none" w:pos="12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Borrower, the Servicer and the Transferor shall pay on demand any and all stamp, sales, excise and other Taxes and fees payable or determined to be payable to any Governmental Authority in connection with the execution, delivery, filing and recording of this Agreement, the other Transaction Documents or any other document providing liquidity support, credit enhancement or other similar support to the Lenders in connection with this Agreement or the funding or maintenance of Advances hereunder.</w:t>
      </w:r>
    </w:p>
    <w:p>
      <w:pPr>
        <w:spacing w:after="0" w:line="77" w:lineRule="exact"/>
        <w:rPr>
          <w:rFonts w:ascii="Arial" w:cs="Arial" w:eastAsia="Arial" w:hAnsi="Arial"/>
          <w:sz w:val="18"/>
          <w:szCs w:val="18"/>
          <w:color w:val="auto"/>
        </w:rPr>
      </w:pPr>
    </w:p>
    <w:p>
      <w:pPr>
        <w:ind w:right="40" w:firstLine="989"/>
        <w:spacing w:after="0" w:line="255" w:lineRule="auto"/>
        <w:tabs>
          <w:tab w:leader="none" w:pos="123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Servicer and the Transferor shall pay on demand all other reasonable out-of-pocket costs, expenses and Taxes (excluding Taxes imposed on or measured by net income or Excluded Taxes) incurred by the Administrative Agent, the Lenders, the Lender Agents, the Collateral Agent, the Collateral Custodian, the Backup Servicer and the Account Bank, including, without limitation, all costs and expenses incurred by the Administrative Agent, the Lender Agents and the Lenders in connection with periodic audits of the Borrower’s, the Transferor’s or the Servicer’s books and records.</w:t>
      </w:r>
    </w:p>
    <w:p>
      <w:pPr>
        <w:spacing w:after="0" w:line="82" w:lineRule="exact"/>
        <w:rPr>
          <w:rFonts w:ascii="Arial" w:cs="Arial" w:eastAsia="Arial" w:hAnsi="Arial"/>
          <w:sz w:val="18"/>
          <w:szCs w:val="18"/>
          <w:color w:val="auto"/>
        </w:rPr>
      </w:pPr>
    </w:p>
    <w:p>
      <w:pPr>
        <w:ind w:firstLine="989"/>
        <w:spacing w:after="0" w:line="255" w:lineRule="auto"/>
        <w:tabs>
          <w:tab w:leader="none" w:pos="12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addition, the Borrower shall pay (i) to the extent not included in the calculation of Yield, any and all commissions of placement agents and dealers in respect of Commercial Paper Notes issued to fund the purchase or maintenance of Advances, and (ii) any and all costs and expenses of any issuing and paying agent or other Person responsible for the administration of the Conduit Lenders’ Commercial Paper Notes program in connection with the preparation, completion, issuance, delivery or payment of Commercial Paper Notes issued to fund the purchase or maintenance of Advances.</w:t>
      </w:r>
    </w:p>
    <w:p>
      <w:pPr>
        <w:spacing w:after="0" w:line="190" w:lineRule="exact"/>
        <w:rPr>
          <w:sz w:val="20"/>
          <w:szCs w:val="20"/>
          <w:color w:val="auto"/>
        </w:rPr>
      </w:pPr>
    </w:p>
    <w:p>
      <w:pPr>
        <w:ind w:firstLine="987"/>
        <w:spacing w:after="0" w:line="258"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No Proceedings</w:t>
      </w:r>
      <w:r>
        <w:rPr>
          <w:rFonts w:ascii="Arial" w:cs="Arial" w:eastAsia="Arial" w:hAnsi="Arial"/>
          <w:sz w:val="18"/>
          <w:szCs w:val="18"/>
          <w:color w:val="auto"/>
        </w:rPr>
        <w:t>. Each of the parties hereto (by accepting the benefits of this Agreement) hereby agrees that it will not institute against, or join any other Person in instituting against, any Conduit Lender any Bankruptcy Proceeding so long as any commercial paper or other senior indebtedness issued by such Conduit Lender shall be outstanding and there shall not have elapsed one year and one day since the last day on which any such commercial paper or other senior indebtedness shall have been outstanding.</w:t>
      </w:r>
    </w:p>
    <w:p>
      <w:pPr>
        <w:spacing w:after="0" w:line="185" w:lineRule="exact"/>
        <w:rPr>
          <w:sz w:val="20"/>
          <w:szCs w:val="20"/>
          <w:color w:val="auto"/>
        </w:rPr>
      </w:pPr>
    </w:p>
    <w:p>
      <w:pPr>
        <w:ind w:firstLine="987"/>
        <w:spacing w:after="0" w:line="287" w:lineRule="auto"/>
        <w:rPr>
          <w:sz w:val="20"/>
          <w:szCs w:val="20"/>
          <w:color w:val="auto"/>
        </w:rPr>
      </w:pPr>
      <w:r>
        <w:rPr>
          <w:rFonts w:ascii="Arial" w:cs="Arial" w:eastAsia="Arial" w:hAnsi="Arial"/>
          <w:sz w:val="16"/>
          <w:szCs w:val="16"/>
          <w:color w:val="auto"/>
        </w:rPr>
        <w:t xml:space="preserve">Section 12.09 </w:t>
      </w:r>
      <w:r>
        <w:rPr>
          <w:rFonts w:ascii="Arial" w:cs="Arial" w:eastAsia="Arial" w:hAnsi="Arial"/>
          <w:sz w:val="16"/>
          <w:szCs w:val="16"/>
          <w:u w:val="single" w:color="auto"/>
          <w:color w:val="auto"/>
        </w:rPr>
        <w:t>Recourse Against Certain Parties</w:t>
      </w:r>
      <w:r>
        <w:rPr>
          <w:rFonts w:ascii="Arial" w:cs="Arial" w:eastAsia="Arial" w:hAnsi="Arial"/>
          <w:sz w:val="16"/>
          <w:szCs w:val="16"/>
          <w:color w:val="auto"/>
        </w:rPr>
        <w:t xml:space="preserve">. (a) No recourse under or with respect to any obligation, covenant or agreement (including, without limitation, the payment of any fees or any other obligations) of the Administrative Agent, the Lenders, the Lender Agents or any Secured Party as contained in this Agreement or any other agreement, instrument or document entered into by the Administrative Agent, the Lenders, the Lender Agents or any Secured Party pursuant hereto or in connection herewith shall be had against any administrator of the Administrative Agent, the Lenders, the Lender Agents or any Secured Party or any incorporator, affiliate, stockholder, officer, employee or director of the Administrative Agent, the Lenders, the Lender Agents or any Secured Party or of any such administrator, as such, by the enforcement of any assessment or by any legal or equitable proceeding, by virtue of any statute or otherwise; </w:t>
      </w:r>
      <w:r>
        <w:rPr>
          <w:rFonts w:ascii="Arial" w:cs="Arial" w:eastAsia="Arial" w:hAnsi="Arial"/>
          <w:sz w:val="16"/>
          <w:szCs w:val="16"/>
          <w:u w:val="single" w:color="auto"/>
          <w:color w:val="auto"/>
        </w:rPr>
        <w:t>it being expressly agreed and understood</w:t>
      </w:r>
      <w:r>
        <w:rPr>
          <w:rFonts w:ascii="Arial" w:cs="Arial" w:eastAsia="Arial" w:hAnsi="Arial"/>
          <w:sz w:val="16"/>
          <w:szCs w:val="16"/>
          <w:color w:val="auto"/>
        </w:rPr>
        <w:t xml:space="preserve"> that the agreements of each party hereto contained in this Agreement and all of the other agreements, instruments and documents entered into by the Administrative Agent, the Lenders, the Lender Agents or any Secured Party pursuant hereto or in connection herewith are, in each case, solely the corporate obligations of such party (and nothing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0960"/>
          </w:cols>
          <w:pgMar w:left="460" w:top="273" w:right="479" w:bottom="1440" w:gutter="0" w:footer="0" w:header="0"/>
        </w:sectPr>
      </w:pPr>
    </w:p>
    <w:bookmarkStart w:id="248" w:name="page249"/>
    <w:bookmarkEnd w:id="24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in this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shall be construed to diminish in any way such corporate obligations of such party), and that no personal liability whatsoever shall attach to or be incurred by any administrator of the Administrative Agent, the Lenders, the Lender Agents or any Secured Party or any incorporator, stockholder, affiliate, officer, employee or director of the Lenders, the Administrative Agent or the Lender Agents or of any such administrator, as such, or any of them, under or by reason of any of the obligations, covenants or agreements of the Administrative Agent, the Lenders, the Lender Agents or any Secured Party contained in this Agreement or in any other such instruments, documents or agreements, or are implied therefrom, and that any and all personal liability of every such administrator of the Administrative Agent, the Lenders, the Lender Agents or any Secured Party and each incorporator, stockholder, affiliate, officer, employee or director of the Administrative Agent, the Lenders, the Lender Agents or any Secured Party or of any such administrator, or any of them, for breaches by the Administrative Agent, the Lenders, the Lender Agents or any Secured Party of any such obligations, covenants or agreements, which liability may arise either at common law or in equity, by statute or constitution, or otherwise, is hereby expressly waived as a condition of and in consideration for the execution of this Agreement.</w:t>
      </w:r>
    </w:p>
    <w:p>
      <w:pPr>
        <w:spacing w:after="0" w:line="57" w:lineRule="exact"/>
        <w:rPr>
          <w:sz w:val="20"/>
          <w:szCs w:val="20"/>
          <w:color w:val="auto"/>
        </w:rPr>
      </w:pPr>
    </w:p>
    <w:p>
      <w:pPr>
        <w:ind w:right="100" w:firstLine="989"/>
        <w:spacing w:after="0" w:line="272" w:lineRule="auto"/>
        <w:tabs>
          <w:tab w:leader="none" w:pos="12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Notwithstanding any contrary provision set forth herein, no claim may be made by the Borrower, the Transferor or the Servicer or any other Person against the Administrative Agent, the Lender Agents, the Lenders, or any Secured Party or their respective Affiliates, directors, officers, employees, attorneys or agents for any special, indirect, consequential or punitive damages in respect to any claim for breach of contract or any other theory of liability arising out of or related to the transactions contemplated by this Agreement, or any act, omission or event occurring in connection therewith; and the Borrower, the Transferor and the Servicer each hereby waives, releases, and agrees not to sue upon any claim for any such damages, whether or not accrued and whether or not known or suspected.</w:t>
      </w:r>
    </w:p>
    <w:p>
      <w:pPr>
        <w:spacing w:after="0" w:line="68" w:lineRule="exact"/>
        <w:rPr>
          <w:rFonts w:ascii="Arial" w:cs="Arial" w:eastAsia="Arial" w:hAnsi="Arial"/>
          <w:sz w:val="17"/>
          <w:szCs w:val="17"/>
          <w:color w:val="auto"/>
        </w:rPr>
      </w:pPr>
    </w:p>
    <w:p>
      <w:pPr>
        <w:ind w:right="440" w:firstLine="989"/>
        <w:spacing w:after="0" w:line="339" w:lineRule="auto"/>
        <w:tabs>
          <w:tab w:leader="none" w:pos="123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No obligation or liability to any Obligor under any of the Loan Assets is intended to be assumed by the Administrative Agent, the Lenders, the Lender Agents or any Secured Party under or as a result of this Agreement and the transactions contemplated hereby.</w:t>
      </w:r>
    </w:p>
    <w:p>
      <w:pPr>
        <w:spacing w:after="0" w:line="17" w:lineRule="exact"/>
        <w:rPr>
          <w:rFonts w:ascii="Arial" w:cs="Arial" w:eastAsia="Arial" w:hAnsi="Arial"/>
          <w:sz w:val="16"/>
          <w:szCs w:val="16"/>
          <w:color w:val="auto"/>
        </w:rPr>
      </w:pPr>
    </w:p>
    <w:p>
      <w:pPr>
        <w:ind w:firstLine="989"/>
        <w:spacing w:after="0" w:line="272" w:lineRule="auto"/>
        <w:tabs>
          <w:tab w:leader="none" w:pos="12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no Conduit Lender shall have any obligation to pay any amount required to be paid by it hereunder in excess of any amount available to such Conduit Lender after paying or making provision for the payment of its Commercial Paper Notes. All payment obligations of each Conduit Lender hereunder are contingent on the availability of funds in excess of the amounts necessary to pay its Commercial Paper Notes; and each of the other parties hereto agrees that it will not have a claim under Section 101(5) of the Bankruptcy Code if and to the extent that any such payment obligation owed to it by a Conduit Lender exceeds the amount available to such Conduit Lender to pay such amount after paying or making provision for the payment of its Commercial Paper Notes.</w:t>
      </w:r>
    </w:p>
    <w:p>
      <w:pPr>
        <w:spacing w:after="0" w:line="68" w:lineRule="exact"/>
        <w:rPr>
          <w:rFonts w:ascii="Arial" w:cs="Arial" w:eastAsia="Arial" w:hAnsi="Arial"/>
          <w:sz w:val="17"/>
          <w:szCs w:val="17"/>
          <w:color w:val="auto"/>
        </w:rPr>
      </w:pPr>
    </w:p>
    <w:p>
      <w:pPr>
        <w:ind w:left="1240" w:hanging="251"/>
        <w:spacing w:after="0"/>
        <w:tabs>
          <w:tab w:leader="none" w:pos="12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12.09</w:t>
      </w:r>
      <w:r>
        <w:rPr>
          <w:rFonts w:ascii="Arial" w:cs="Arial" w:eastAsia="Arial" w:hAnsi="Arial"/>
          <w:sz w:val="18"/>
          <w:szCs w:val="18"/>
          <w:color w:val="auto"/>
        </w:rPr>
        <w:t xml:space="preserve"> shall survive the termination of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0960"/>
          </w:cols>
          <w:pgMar w:left="460" w:top="273" w:right="479" w:bottom="1440" w:gutter="0" w:footer="0" w:header="0"/>
        </w:sectPr>
      </w:pPr>
    </w:p>
    <w:bookmarkStart w:id="249" w:name="page250"/>
    <w:bookmarkEnd w:id="249"/>
    <w:p>
      <w:pPr>
        <w:ind w:firstLine="987"/>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12.10 </w:t>
      </w:r>
      <w:r>
        <w:rPr>
          <w:rFonts w:ascii="Arial" w:cs="Arial" w:eastAsia="Arial" w:hAnsi="Arial"/>
          <w:sz w:val="17"/>
          <w:szCs w:val="17"/>
          <w:u w:val="single" w:color="auto"/>
          <w:color w:val="auto"/>
        </w:rPr>
        <w:t>Execution in Counterparts; Severability; Integration</w:t>
      </w:r>
      <w:r>
        <w:rPr>
          <w:rFonts w:ascii="Arial" w:cs="Arial" w:eastAsia="Arial" w:hAnsi="Arial"/>
          <w:sz w:val="17"/>
          <w:szCs w:val="17"/>
          <w:color w:val="auto"/>
        </w:rPr>
        <w:t>. This Agreement may be executed in any number of counterparts and by different parties hereto in separate counterparts, each of which when so executed shall be deemed to be an original and all of which when taken together shall constitute one and the same agreement. Delivery of an executed counterpart of a signature page to this Agreement by e-mail in portable document format (.pdf) shall be effective as delivery of a manually executed counterpart of this Agreement. In the event that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and any agreements or letters (including Fee Letters) executed in connection herewith contains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 other than any Fee Letter delivered by the Servicer to the Administrative Agent and the Lender Agents.</w:t>
      </w:r>
    </w:p>
    <w:p>
      <w:pPr>
        <w:spacing w:after="0" w:line="182" w:lineRule="exact"/>
        <w:rPr>
          <w:sz w:val="20"/>
          <w:szCs w:val="20"/>
          <w:color w:val="auto"/>
        </w:rPr>
      </w:pPr>
    </w:p>
    <w:p>
      <w:pPr>
        <w:ind w:right="20" w:firstLine="987"/>
        <w:spacing w:after="0" w:line="253"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Consent to Jurisdiction; Service of Process</w:t>
      </w:r>
      <w:r>
        <w:rPr>
          <w:rFonts w:ascii="Arial" w:cs="Arial" w:eastAsia="Arial" w:hAnsi="Arial"/>
          <w:sz w:val="18"/>
          <w:szCs w:val="18"/>
          <w:color w:val="auto"/>
        </w:rPr>
        <w:t>. (a) Each party hereto hereby irrevocably submits to the non-exclusive jurisdiction of any New York State or Federal court sitting in New York City in any action or proceeding arising out of or relating to the Transaction Documents, and each party hereto hereby irrevocably agrees that all claims in respect of such action or proceeding may be heard and determined in such New York State court or, to the extent permitted by law, in such Federal court. The parties hereto hereby irrevocably waive, to the fullest extent they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spacing w:after="0" w:line="85" w:lineRule="exact"/>
        <w:rPr>
          <w:sz w:val="20"/>
          <w:szCs w:val="20"/>
          <w:color w:val="auto"/>
        </w:rPr>
      </w:pPr>
    </w:p>
    <w:p>
      <w:pPr>
        <w:ind w:right="340" w:firstLine="989"/>
        <w:spacing w:after="0" w:line="277" w:lineRule="auto"/>
        <w:tabs>
          <w:tab w:leader="none" w:pos="12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Each of the Borrower and the Servicer agrees that service of process may be effected by mailing a copy thereof by registered or certified mail, postage prepaid, to the Borrower or the Servicer, as applicable, at its address specified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or at such other address as the Administrative Agent shall have been notified in accordance herewith. Nothing in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affect the right of the Lenders, the Administrative Agent or the Lender Agents to serve legal process in any other manner permitted by law.</w:t>
      </w:r>
    </w:p>
    <w:p>
      <w:pPr>
        <w:spacing w:after="0" w:line="172" w:lineRule="exact"/>
        <w:rPr>
          <w:sz w:val="20"/>
          <w:szCs w:val="20"/>
          <w:color w:val="auto"/>
        </w:rPr>
      </w:pPr>
    </w:p>
    <w:p>
      <w:pPr>
        <w:ind w:right="20" w:firstLine="987"/>
        <w:spacing w:after="0" w:line="286" w:lineRule="auto"/>
        <w:rPr>
          <w:sz w:val="20"/>
          <w:szCs w:val="20"/>
          <w:color w:val="auto"/>
        </w:rPr>
      </w:pPr>
      <w:r>
        <w:rPr>
          <w:rFonts w:ascii="Arial" w:cs="Arial" w:eastAsia="Arial" w:hAnsi="Arial"/>
          <w:sz w:val="16"/>
          <w:szCs w:val="16"/>
          <w:color w:val="auto"/>
        </w:rPr>
        <w:t xml:space="preserve">Section 12.12 </w:t>
      </w:r>
      <w:r>
        <w:rPr>
          <w:rFonts w:ascii="Arial" w:cs="Arial" w:eastAsia="Arial" w:hAnsi="Arial"/>
          <w:sz w:val="16"/>
          <w:szCs w:val="16"/>
          <w:u w:val="single" w:color="auto"/>
          <w:color w:val="auto"/>
        </w:rPr>
        <w:t>Characterization of Conveyances Pursuant to the Contribution Agreement</w:t>
      </w:r>
      <w:r>
        <w:rPr>
          <w:rFonts w:ascii="Arial" w:cs="Arial" w:eastAsia="Arial" w:hAnsi="Arial"/>
          <w:sz w:val="16"/>
          <w:szCs w:val="16"/>
          <w:color w:val="auto"/>
        </w:rPr>
        <w:t xml:space="preserve">. (a) It is the express intent of the parties hereto that the conveyance of the Eligible Loan Assets by the Transferor to the Borrower as contemplated by the Contribution Agreement be, and be treated for all purposes (other than accounting purposes and subject to the tax characterization of the Borrower and the Advances described in </w:t>
      </w:r>
      <w:r>
        <w:rPr>
          <w:rFonts w:ascii="Arial" w:cs="Arial" w:eastAsia="Arial" w:hAnsi="Arial"/>
          <w:sz w:val="16"/>
          <w:szCs w:val="16"/>
          <w:u w:val="single" w:color="auto"/>
          <w:color w:val="auto"/>
        </w:rPr>
        <w:t>Section 5.01(bb)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5.02(j)</w:t>
      </w:r>
      <w:r>
        <w:rPr>
          <w:rFonts w:ascii="Arial" w:cs="Arial" w:eastAsia="Arial" w:hAnsi="Arial"/>
          <w:sz w:val="16"/>
          <w:szCs w:val="16"/>
          <w:color w:val="auto"/>
        </w:rPr>
        <w:t xml:space="preserve"> hereof) as, a contribution by the Transferor of such Eligible Loan Assets. It is, further, not the intention of the parties that such contribution be deemed a pledge of the Eligible Loan Assets by the Transferor to the Borrower to secure a debt or other obligation of the Transferor. However, in the event that, notwithstanding the intent of the parties, the Eligible Loan Assets are held to continue to be property of the Transferor, then the parties hereto agree that: (i) the Contribution Agreement shall also be deemed to be a security agreement under Applicable Law; (ii) as set forth in the Contribution Agreement, the transfer of the Eligible Loan Assets provided for in the Contribution Agreement shall be deemed to be a grant by the Transferor to the Borrower of a first priority security interest (subject only to Permitted Liens) in all of the Transferor’s right, title and interest in and to the Eligible Loan Assets and all amounts payable to the holders of the Eligible Loan Assets in accordance with the terms thereof and all proceeds of the conversion, voluntary or involuntary, of the foregoing into cash, instruments, securities or other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0960"/>
          </w:cols>
          <w:pgMar w:left="460" w:top="273" w:right="479" w:bottom="1440" w:gutter="0" w:footer="0" w:header="0"/>
        </w:sectPr>
      </w:pPr>
    </w:p>
    <w:bookmarkStart w:id="250" w:name="page251"/>
    <w:bookmarkEnd w:id="250"/>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property, including, without limitation, all amounts from time to time held or invested in the Collection Account and the URCA Account, whether in the form of cash, instruments, securities or other property; (iii) the possession by the Borrower (or the Collateral Custodian on its behalf) of Loan Assets and such other items of property as constitute instruments, money, negotiable documents or chattel paper shall be, subject to </w:t>
      </w:r>
      <w:r>
        <w:rPr>
          <w:rFonts w:ascii="Arial" w:cs="Arial" w:eastAsia="Arial" w:hAnsi="Arial"/>
          <w:sz w:val="16"/>
          <w:szCs w:val="16"/>
          <w:u w:val="single" w:color="auto"/>
          <w:color w:val="auto"/>
        </w:rPr>
        <w:t>clause (iv)</w:t>
      </w:r>
      <w:r>
        <w:rPr>
          <w:rFonts w:ascii="Arial" w:cs="Arial" w:eastAsia="Arial" w:hAnsi="Arial"/>
          <w:sz w:val="16"/>
          <w:szCs w:val="16"/>
          <w:color w:val="auto"/>
        </w:rPr>
        <w:t>, for purposes of perfecting the security interest pursuant to the UCC; and (iv) acknowledgements from Persons holding such property shall be deemed acknowledgements from custodians, bailees or agents (as applicable) of the Borrower for the purpose of perfecting such security interest under Applicable Law. The parties further agree that any assignment of the interest of the Borrower pursuant to any provision hereof shall also be deemed to be an assignment of any security interest created pursuant to the terms of the Contribution Agreement. The Borrower shall, to the extent consistent with this Agreement and the other Transaction Documents, take such actions as may be necessary to ensure that, if the Contribution Agreement was deemed to create a security interest in the Eligible Loan Assets, such security interest would be deemed to be a perfected security interest of first priority (subject only to Permitted Liens) under Applicable Law and will be maintained as such throughout the term of this Agreement.</w:t>
      </w:r>
    </w:p>
    <w:p>
      <w:pPr>
        <w:spacing w:after="0" w:line="57" w:lineRule="exact"/>
        <w:rPr>
          <w:sz w:val="20"/>
          <w:szCs w:val="20"/>
          <w:color w:val="auto"/>
        </w:rPr>
      </w:pPr>
    </w:p>
    <w:p>
      <w:pPr>
        <w:ind w:right="40" w:firstLine="989"/>
        <w:spacing w:after="0" w:line="262" w:lineRule="auto"/>
        <w:tabs>
          <w:tab w:leader="none" w:pos="12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It is the intention of each of the parties hereto that the Eligible Loan Assets conveyed by the Transferor to the Borrower pursuant to the Contribution Agreement shall constitute assets owned by the Borrower and shall not be part of the Transferor’s estate in the event of the filing of a bankruptcy petition by or against the Transferor under any bankruptcy or similar law.</w:t>
      </w:r>
    </w:p>
    <w:p>
      <w:pPr>
        <w:spacing w:after="0" w:line="74" w:lineRule="exact"/>
        <w:rPr>
          <w:rFonts w:ascii="Arial" w:cs="Arial" w:eastAsia="Arial" w:hAnsi="Arial"/>
          <w:sz w:val="18"/>
          <w:szCs w:val="18"/>
          <w:color w:val="auto"/>
        </w:rPr>
      </w:pPr>
    </w:p>
    <w:p>
      <w:pPr>
        <w:ind w:right="60" w:firstLine="989"/>
        <w:spacing w:after="0" w:line="285" w:lineRule="auto"/>
        <w:tabs>
          <w:tab w:leader="none" w:pos="123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The Borrower agrees to treat, and shall cause the Transferor to treat, for all purposes (other than accounting purposes and subject to the tax characterization of the Borrower and the Advances described in </w:t>
      </w:r>
      <w:r>
        <w:rPr>
          <w:rFonts w:ascii="Arial" w:cs="Arial" w:eastAsia="Arial" w:hAnsi="Arial"/>
          <w:sz w:val="16"/>
          <w:szCs w:val="16"/>
          <w:u w:val="single" w:color="auto"/>
          <w:color w:val="auto"/>
        </w:rPr>
        <w:t>Section 5.01(bb)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5.02(j)</w:t>
      </w:r>
      <w:r>
        <w:rPr>
          <w:rFonts w:ascii="Arial" w:cs="Arial" w:eastAsia="Arial" w:hAnsi="Arial"/>
          <w:sz w:val="16"/>
          <w:szCs w:val="16"/>
          <w:color w:val="auto"/>
        </w:rPr>
        <w:t xml:space="preserve"> hereof), the transactions effected by the Contribution Agreement as contribution of assets to the Borrower. The Borrower and the Servicer each hereby agree to cause the Transferor to reflect in the Transferor’s financial records and to include a note in the publicly filed annual and quarterly financial statements of Solar Capital indicating that:</w:t>
      </w:r>
    </w:p>
    <w:p>
      <w:pPr>
        <w:jc w:val="both"/>
        <w:ind w:right="80" w:firstLine="2"/>
        <w:spacing w:after="0" w:line="299" w:lineRule="auto"/>
        <w:tabs>
          <w:tab w:leader="none" w:pos="214" w:val="left"/>
        </w:tabs>
        <w:numPr>
          <w:ilvl w:val="0"/>
          <w:numId w:val="258"/>
        </w:numPr>
        <w:rPr>
          <w:rFonts w:ascii="Arial" w:cs="Arial" w:eastAsia="Arial" w:hAnsi="Arial"/>
          <w:sz w:val="15"/>
          <w:szCs w:val="15"/>
          <w:color w:val="auto"/>
        </w:rPr>
      </w:pPr>
      <w:r>
        <w:rPr>
          <w:rFonts w:ascii="Arial" w:cs="Arial" w:eastAsia="Arial" w:hAnsi="Arial"/>
          <w:sz w:val="15"/>
          <w:szCs w:val="15"/>
          <w:color w:val="auto"/>
        </w:rPr>
        <w:t>assets related to transactions (including transactions pursuant to the Transaction Documents) that do not meet SFAS 140 requirements for accounting sale treatment are reflected in the consolidated balance sheet of Solar Capital, as finance receivables pledged and non-recourse, secured borrowings and</w:t>
      </w:r>
    </w:p>
    <w:p>
      <w:pPr>
        <w:ind w:right="160" w:firstLine="2"/>
        <w:spacing w:after="0" w:line="253" w:lineRule="auto"/>
        <w:tabs>
          <w:tab w:leader="none" w:pos="26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those assets are owned by a special purpose entity that is consolidated in the financial statements of Solar Capital, and the creditors of that special purpose entity have received ownership or security interests in such assets and such assets are not intended to be available to the creditors of sellers (or any affiliate of the sellers) of such assets to that special purpose entity.</w:t>
      </w:r>
    </w:p>
    <w:p>
      <w:pPr>
        <w:spacing w:after="0" w:line="191" w:lineRule="exact"/>
        <w:rPr>
          <w:sz w:val="20"/>
          <w:szCs w:val="20"/>
          <w:color w:val="auto"/>
        </w:rPr>
      </w:pPr>
    </w:p>
    <w:p>
      <w:pPr>
        <w:ind w:right="20" w:firstLine="987"/>
        <w:spacing w:after="0" w:line="292" w:lineRule="auto"/>
        <w:rPr>
          <w:sz w:val="20"/>
          <w:szCs w:val="20"/>
          <w:color w:val="auto"/>
        </w:rPr>
      </w:pPr>
      <w:r>
        <w:rPr>
          <w:rFonts w:ascii="Arial" w:cs="Arial" w:eastAsia="Arial" w:hAnsi="Arial"/>
          <w:sz w:val="16"/>
          <w:szCs w:val="16"/>
          <w:color w:val="auto"/>
        </w:rPr>
        <w:t xml:space="preserve">Section 12.13 </w:t>
      </w:r>
      <w:r>
        <w:rPr>
          <w:rFonts w:ascii="Arial" w:cs="Arial" w:eastAsia="Arial" w:hAnsi="Arial"/>
          <w:sz w:val="16"/>
          <w:szCs w:val="16"/>
          <w:u w:val="single" w:color="auto"/>
          <w:color w:val="auto"/>
        </w:rPr>
        <w:t>Confidentiality</w:t>
      </w:r>
      <w:r>
        <w:rPr>
          <w:rFonts w:ascii="Arial" w:cs="Arial" w:eastAsia="Arial" w:hAnsi="Arial"/>
          <w:sz w:val="16"/>
          <w:szCs w:val="16"/>
          <w:color w:val="auto"/>
        </w:rPr>
        <w:t>. (a) Each of the Administrative Agent, the Lenders, the Lender Agents, the Servicer, the Collateral Agent, the Borrower, the Account Bank, the Transferor, the Backup Servicer and the Collateral Custodian shall maintain and shall cause each of its employees and officers to maintain the confidentiality of the Agreement and all information with respect to the other parties, including all information regarding the business of the Borrower and the Servicer hereto and their respective businesses obtained by it or them in connection with the structuring, negotiating and execution of the transactions contemplated herein (including written non-public information relating to an Obligor that is required under the terms of the related Loan Agreement to be maintained as confidential), except that each such party and its officers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0960"/>
          </w:cols>
          <w:pgMar w:left="460" w:top="273" w:right="479" w:bottom="1440" w:gutter="0" w:footer="0" w:header="0"/>
        </w:sectPr>
      </w:pPr>
    </w:p>
    <w:bookmarkStart w:id="251" w:name="page252"/>
    <w:bookmarkEnd w:id="251"/>
    <w:p>
      <w:pPr>
        <w:ind w:right="8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employees may (i) disclose such information to its external accountants, investigators, auditors, attorneys or other agents, including any Rating Agency or valuation firm engaged by such party in connection with any due diligence or comparable activities with respect to the transactions and Loan Assets contemplated herein and the agents of such Persons (“</w:t>
      </w:r>
      <w:r>
        <w:rPr>
          <w:rFonts w:ascii="Arial" w:cs="Arial" w:eastAsia="Arial" w:hAnsi="Arial"/>
          <w:sz w:val="17"/>
          <w:szCs w:val="17"/>
          <w:u w:val="single" w:color="auto"/>
          <w:color w:val="auto"/>
        </w:rPr>
        <w:t>Excepted Persons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Excepted Person shall, as a condition to any such disclosure, agree for the benefit of the Administrative Agent, the Lenders, the Lender Agents, the Servicer, the Collateral Agent, the Borrower, the Account Bank, the Backup Servicer, the Transferor and the Collateral Custodian that such information shall be used solely in connection with such Excepted Person’s evaluation of, or relationship with, the Borrower and its affiliates, (ii) disclose the existence of the Agreement, but not the financial terms thereof, (iii) disclose such information as is required by Applicable Law and (iv) disclose the Agreement and such information in any suit, action, proceeding or investigation (whether in law or in equity or pursuant to arbitration) involving any of the Transaction Documents for the purpose of defending itself, reducing its liability, or protecting or exercising any of its claims, rights, remedies, or interests under or in connection with any of the Transaction Documents. Notwithstanding the foregoing provisions of this </w:t>
      </w:r>
      <w:r>
        <w:rPr>
          <w:rFonts w:ascii="Arial" w:cs="Arial" w:eastAsia="Arial" w:hAnsi="Arial"/>
          <w:sz w:val="17"/>
          <w:szCs w:val="17"/>
          <w:u w:val="single" w:color="auto"/>
          <w:color w:val="auto"/>
        </w:rPr>
        <w:t>Section 12.13(a)</w:t>
      </w:r>
      <w:r>
        <w:rPr>
          <w:rFonts w:ascii="Arial" w:cs="Arial" w:eastAsia="Arial" w:hAnsi="Arial"/>
          <w:sz w:val="17"/>
          <w:szCs w:val="17"/>
          <w:color w:val="auto"/>
        </w:rPr>
        <w:t xml:space="preserve">, the Servicer may, subject to Applicable Law and the terms of any Loan Agreements, make available copies of the documents in the Servicing Files and such other documents it holds in its capacity as Servicer pursuant to the terms of this Agreement, to any of its creditors. It is understood that the financial terms that may not be disclosed except in compliance with this </w:t>
      </w:r>
      <w:r>
        <w:rPr>
          <w:rFonts w:ascii="Arial" w:cs="Arial" w:eastAsia="Arial" w:hAnsi="Arial"/>
          <w:sz w:val="17"/>
          <w:szCs w:val="17"/>
          <w:u w:val="single" w:color="auto"/>
          <w:color w:val="auto"/>
        </w:rPr>
        <w:t>Section 12.13(a)</w:t>
      </w:r>
      <w:r>
        <w:rPr>
          <w:rFonts w:ascii="Arial" w:cs="Arial" w:eastAsia="Arial" w:hAnsi="Arial"/>
          <w:sz w:val="17"/>
          <w:szCs w:val="17"/>
          <w:color w:val="auto"/>
        </w:rPr>
        <w:t xml:space="preserve"> include, without limitation, all fees and other pricing terms, and all Events of Default, Servicer Termination Events, and priority of payment provisions.</w:t>
      </w:r>
    </w:p>
    <w:p>
      <w:pPr>
        <w:spacing w:after="0" w:line="73" w:lineRule="exact"/>
        <w:rPr>
          <w:sz w:val="20"/>
          <w:szCs w:val="20"/>
          <w:color w:val="auto"/>
        </w:rPr>
      </w:pPr>
    </w:p>
    <w:p>
      <w:pPr>
        <w:ind w:firstLine="989"/>
        <w:spacing w:after="0" w:line="286" w:lineRule="auto"/>
        <w:tabs>
          <w:tab w:leader="none" w:pos="12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Anything herein to the contrary notwithstanding, the Borrower and the Servicer each hereby consents to the disclosure of any nonpublic information with respect to it (i) to the Administrative Agent, the Lenders, the Lender Agent, the Account Bank, the Backup Servicer, the Collateral Agent or the Collateral Custodian by each other, (ii) by the Administrative Agent, the Lenders, the Lender Agent, the Account Bank, the Collateral Agent, the Backup Servicer and the Collateral Custodian to any prospective or actual assignee or participant of any of them provided such Person agrees to hold such information confidential, or (iii) by the Administrative Agent, the Lenders, the Lender Agent, the Account Bank, the Collateral Agent, the Backup Servicer and the Collateral Custodian to any commercial paper dealer or provider of a surety, guaranty or credit or liquidity enhancement to any Lender or any Person providing financing to, or holding equity interests in, any Conduit Lender, as applicable, and to any officers, directors, employees, outside accountants and attorneys of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each such Person is informed of the confidential nature of such information. In addition, the Lenders, the Administrative Agent, the Lender Agent, the Collateral Agent, the Account Bank, the Backup Servicer and the Collateral Custodian may disclose any such nonpublic information as required pursuant to any law, rule, regulation, direction, request or order of any judicial, administrative or regulatory authority or proceedings (whether or not having the force or effect of law).</w:t>
      </w:r>
    </w:p>
    <w:p>
      <w:pPr>
        <w:spacing w:after="0" w:line="60" w:lineRule="exact"/>
        <w:rPr>
          <w:rFonts w:ascii="Arial" w:cs="Arial" w:eastAsia="Arial" w:hAnsi="Arial"/>
          <w:sz w:val="16"/>
          <w:szCs w:val="16"/>
          <w:color w:val="auto"/>
        </w:rPr>
      </w:pPr>
    </w:p>
    <w:p>
      <w:pPr>
        <w:ind w:right="140" w:firstLine="989"/>
        <w:spacing w:after="0" w:line="255" w:lineRule="auto"/>
        <w:tabs>
          <w:tab w:leader="none" w:pos="123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(including, without limitation Rule 17g-5) , (b) to any government agency or regulatory body having or claiming authority to regulate or oversee any aspects of the Lenders’, the Administrative Agent’, the Lender Agents’, the Collateral Agent’s, the Account Bank’s, the Backup Servicer’s or the Collateral Custodian’s business or that of their affiliates, (c) pursuant to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960"/>
          </w:cols>
          <w:pgMar w:left="460" w:top="273" w:right="479" w:bottom="1440" w:gutter="0" w:footer="0" w:header="0"/>
        </w:sectPr>
      </w:pPr>
    </w:p>
    <w:bookmarkStart w:id="252" w:name="page253"/>
    <w:bookmarkEnd w:id="252"/>
    <w:p>
      <w:pPr>
        <w:ind w:right="1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any subpoena, civil investigative demand or similar demand or request of any court, regulatory authority, arbitrator or arbitration to which the Administrative Agent, any Lender, any Lender Agent, the Collateral Agent, the Collateral Custodian, the Backup Servicer or the Account Bank or an officer, director, employer, shareholder or affiliate of any of the foregoing is a party, (d) in any preliminary or final offering circular, registration statement or contract or other document approved in advance by the Borrower, the Servicer or the Transferor or (e) to any affiliate, independent or internal auditor, agent, employee or attorney of the Collateral Agent, the Backup Servicer or the Collateral Custodian having a need to know the same,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disclosing party advises such recipient of the confidential nature of the information being disclosed; or (iii) any other disclosure authorized by the Borrower, Servicer or the Transferor.</w:t>
      </w:r>
    </w:p>
    <w:p>
      <w:pPr>
        <w:spacing w:after="0" w:line="181" w:lineRule="exact"/>
        <w:rPr>
          <w:sz w:val="20"/>
          <w:szCs w:val="20"/>
          <w:color w:val="auto"/>
        </w:rPr>
      </w:pPr>
    </w:p>
    <w:p>
      <w:pPr>
        <w:ind w:firstLine="987"/>
        <w:spacing w:after="0" w:line="270" w:lineRule="auto"/>
        <w:rPr>
          <w:sz w:val="20"/>
          <w:szCs w:val="20"/>
          <w:color w:val="auto"/>
        </w:rPr>
      </w:pPr>
      <w:r>
        <w:rPr>
          <w:rFonts w:ascii="Arial" w:cs="Arial" w:eastAsia="Arial" w:hAnsi="Arial"/>
          <w:sz w:val="17"/>
          <w:szCs w:val="17"/>
          <w:color w:val="auto"/>
        </w:rPr>
        <w:t xml:space="preserve">Section 12.14 </w:t>
      </w:r>
      <w:r>
        <w:rPr>
          <w:rFonts w:ascii="Arial" w:cs="Arial" w:eastAsia="Arial" w:hAnsi="Arial"/>
          <w:sz w:val="17"/>
          <w:szCs w:val="17"/>
          <w:u w:val="single" w:color="auto"/>
          <w:color w:val="auto"/>
        </w:rPr>
        <w:t>Non-Confidentiality of Tax Treatment</w:t>
      </w:r>
      <w:r>
        <w:rPr>
          <w:rFonts w:ascii="Arial" w:cs="Arial" w:eastAsia="Arial" w:hAnsi="Arial"/>
          <w:sz w:val="17"/>
          <w:szCs w:val="17"/>
          <w:color w:val="auto"/>
        </w:rPr>
        <w:t xml:space="preserve">. All parties hereto agree that each of them and each of their employees, representatives, and other agents may disclose to any and all Persons, without limitation of any kind, the tax treatment and tax structure of the transaction and all materials of any kind (including, without limitation, opinions or other tax analyses) that are provided to any of them relating to such tax treatment and tax structure. “Tax treatment” and “tax structure” shall have the same meaning as such terms have for purposes of Treasury Regulation Section 1.6011-4;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document or similar item that in either case contains information concerning the tax treatment or tax structure of the transaction as well as other information, the provisions of this </w:t>
      </w:r>
      <w:r>
        <w:rPr>
          <w:rFonts w:ascii="Arial" w:cs="Arial" w:eastAsia="Arial" w:hAnsi="Arial"/>
          <w:sz w:val="17"/>
          <w:szCs w:val="17"/>
          <w:u w:val="single" w:color="auto"/>
          <w:color w:val="auto"/>
        </w:rPr>
        <w:t>Section 12.14</w:t>
      </w:r>
      <w:r>
        <w:rPr>
          <w:rFonts w:ascii="Arial" w:cs="Arial" w:eastAsia="Arial" w:hAnsi="Arial"/>
          <w:sz w:val="17"/>
          <w:szCs w:val="17"/>
          <w:color w:val="auto"/>
        </w:rPr>
        <w:t xml:space="preserve"> shall only apply to such portions of the document or similar item that relate to the tax treatment or tax structure of the transactions contemplated hereby.</w:t>
      </w:r>
    </w:p>
    <w:p>
      <w:pPr>
        <w:spacing w:after="0" w:line="181" w:lineRule="exact"/>
        <w:rPr>
          <w:sz w:val="20"/>
          <w:szCs w:val="20"/>
          <w:color w:val="auto"/>
        </w:rPr>
      </w:pPr>
    </w:p>
    <w:p>
      <w:pPr>
        <w:ind w:right="40" w:firstLine="987"/>
        <w:spacing w:after="0" w:line="269" w:lineRule="auto"/>
        <w:rPr>
          <w:sz w:val="20"/>
          <w:szCs w:val="20"/>
          <w:color w:val="auto"/>
        </w:rPr>
      </w:pPr>
      <w:r>
        <w:rPr>
          <w:rFonts w:ascii="Arial" w:cs="Arial" w:eastAsia="Arial" w:hAnsi="Arial"/>
          <w:sz w:val="17"/>
          <w:szCs w:val="17"/>
          <w:color w:val="auto"/>
        </w:rPr>
        <w:t xml:space="preserve">Section 12.15 </w:t>
      </w:r>
      <w:r>
        <w:rPr>
          <w:rFonts w:ascii="Arial" w:cs="Arial" w:eastAsia="Arial" w:hAnsi="Arial"/>
          <w:sz w:val="17"/>
          <w:szCs w:val="17"/>
          <w:u w:val="single" w:color="auto"/>
          <w:color w:val="auto"/>
        </w:rPr>
        <w:t>Right of Set Off</w:t>
      </w:r>
      <w:r>
        <w:rPr>
          <w:rFonts w:ascii="Arial" w:cs="Arial" w:eastAsia="Arial" w:hAnsi="Arial"/>
          <w:sz w:val="17"/>
          <w:szCs w:val="17"/>
          <w:color w:val="auto"/>
        </w:rPr>
        <w:t>. The Borrower agrees that, in addition to (and without limitation of) any right of set-off that the Lender Agents or any Lender may otherwise have, each of the Lender Agents and the Lenders shall be entitled, at its option, to offset amounts owing by the Lender Agents or such Lender, as the case may be, to the Borrower, in Dollars or in any other currency (irrespective of the place of payment or booking office of the obligation and regardless of whether such amounts are then due to the Borrower), against any amount payable by the Borrower to the Lender Agents or such Lender, as the case may be, under this Agreement that is not paid when due. For this purpose, any amount owing by the Lender Agents or any Lender to the Borrower may be converted by the Lender Agents or such Lender, as the case may be, into the currency in which the amount payable by the Borrower to the Lender Agents or such Lender, as the case may be, under this Agreement is denominated at the rate of exchange at which the Lender Agents or such Lender, as the case may be, would be able, acting in a reasonable manner and in good faith, to purchase the relevant amount of such currency.</w:t>
      </w:r>
    </w:p>
    <w:p>
      <w:pPr>
        <w:spacing w:after="0" w:line="178" w:lineRule="exact"/>
        <w:rPr>
          <w:sz w:val="20"/>
          <w:szCs w:val="20"/>
          <w:color w:val="auto"/>
        </w:rPr>
      </w:pPr>
    </w:p>
    <w:p>
      <w:pPr>
        <w:jc w:val="both"/>
        <w:ind w:right="100" w:firstLine="987"/>
        <w:spacing w:after="0" w:line="262" w:lineRule="auto"/>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Headings and Exhibits</w:t>
      </w:r>
      <w:r>
        <w:rPr>
          <w:rFonts w:ascii="Arial" w:cs="Arial" w:eastAsia="Arial" w:hAnsi="Arial"/>
          <w:sz w:val="18"/>
          <w:szCs w:val="18"/>
          <w:color w:val="auto"/>
        </w:rPr>
        <w:t>. 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w:t>
      </w:r>
    </w:p>
    <w:p>
      <w:pPr>
        <w:spacing w:after="0" w:line="182" w:lineRule="exact"/>
        <w:rPr>
          <w:sz w:val="20"/>
          <w:szCs w:val="20"/>
          <w:color w:val="auto"/>
        </w:rPr>
      </w:pPr>
    </w:p>
    <w:p>
      <w:pPr>
        <w:ind w:right="60" w:firstLine="987"/>
        <w:spacing w:after="0" w:line="258"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Ratable Payments</w:t>
      </w:r>
      <w:r>
        <w:rPr>
          <w:rFonts w:ascii="Arial" w:cs="Arial" w:eastAsia="Arial" w:hAnsi="Arial"/>
          <w:sz w:val="18"/>
          <w:szCs w:val="18"/>
          <w:color w:val="auto"/>
        </w:rPr>
        <w:t xml:space="preserve">. If any Lender, whether by setoff or otherwise, shall obtain any payment (whether voluntary, involuntary, through the exercise of any right of setoff, or otherwise) on account of Advances owing to it (other than pursuant to Breakage Fees,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w:t>
      </w:r>
      <w:r>
        <w:rPr>
          <w:rFonts w:ascii="Arial" w:cs="Arial" w:eastAsia="Arial" w:hAnsi="Arial"/>
          <w:sz w:val="18"/>
          <w:szCs w:val="18"/>
          <w:color w:val="auto"/>
        </w:rPr>
        <w:t>) in excess of its ratable share of payments on account of the Advances obtained by all the Lenders, such Lender shall forthwith purchase from the other Lenders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940"/>
          </w:cols>
          <w:pgMar w:left="460" w:top="273" w:right="499" w:bottom="1440" w:gutter="0" w:footer="0" w:header="0"/>
        </w:sectPr>
      </w:pPr>
    </w:p>
    <w:bookmarkStart w:id="253" w:name="page254"/>
    <w:bookmarkEnd w:id="253"/>
    <w:p>
      <w:pPr>
        <w:ind w:right="6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participations in the Advances owing to them as shall be necessary to cause such purchasing Lender to share the excess payment ratably with each of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w:t>
      </w:r>
    </w:p>
    <w:p>
      <w:pPr>
        <w:spacing w:after="0" w:line="159" w:lineRule="exact"/>
        <w:rPr>
          <w:sz w:val="20"/>
          <w:szCs w:val="20"/>
          <w:color w:val="auto"/>
        </w:rPr>
      </w:pPr>
    </w:p>
    <w:p>
      <w:pPr>
        <w:ind w:right="40" w:firstLine="987"/>
        <w:spacing w:after="0" w:line="300" w:lineRule="auto"/>
        <w:rPr>
          <w:sz w:val="20"/>
          <w:szCs w:val="20"/>
          <w:color w:val="auto"/>
        </w:rPr>
      </w:pPr>
      <w:r>
        <w:rPr>
          <w:rFonts w:ascii="Arial" w:cs="Arial" w:eastAsia="Arial" w:hAnsi="Arial"/>
          <w:sz w:val="16"/>
          <w:szCs w:val="16"/>
          <w:color w:val="auto"/>
        </w:rPr>
        <w:t xml:space="preserve">Section 12.18 </w:t>
      </w:r>
      <w:r>
        <w:rPr>
          <w:rFonts w:ascii="Arial" w:cs="Arial" w:eastAsia="Arial" w:hAnsi="Arial"/>
          <w:sz w:val="16"/>
          <w:szCs w:val="16"/>
          <w:u w:val="single" w:color="auto"/>
          <w:color w:val="auto"/>
        </w:rPr>
        <w:t>Failure of Borrower or Servicer to Perform Certain Obligations</w:t>
      </w:r>
      <w:r>
        <w:rPr>
          <w:rFonts w:ascii="Arial" w:cs="Arial" w:eastAsia="Arial" w:hAnsi="Arial"/>
          <w:sz w:val="16"/>
          <w:szCs w:val="16"/>
          <w:color w:val="auto"/>
        </w:rPr>
        <w:t xml:space="preserve">. If the Borrower or the Servicer, as applicable, fails to perform any of its agreements or obligations under </w:t>
      </w:r>
      <w:r>
        <w:rPr>
          <w:rFonts w:ascii="Arial" w:cs="Arial" w:eastAsia="Arial" w:hAnsi="Arial"/>
          <w:sz w:val="16"/>
          <w:szCs w:val="16"/>
          <w:u w:val="single" w:color="auto"/>
          <w:color w:val="auto"/>
        </w:rPr>
        <w:t>Section 5.01(u)</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5.02(q)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5.03(e)</w:t>
      </w:r>
      <w:r>
        <w:rPr>
          <w:rFonts w:ascii="Arial" w:cs="Arial" w:eastAsia="Arial" w:hAnsi="Arial"/>
          <w:sz w:val="16"/>
          <w:szCs w:val="16"/>
          <w:color w:val="auto"/>
        </w:rPr>
        <w:t>, the Administrative Agent may (but shall not be required to) itself perform, or cause performance of, such agreement or obligation, and the expenses of the Administrative Agent incurred in connection therewith shall be payable by the Borrower or the Servicer (on behalf of the Borrower), as applicable, upon the Administrative Agent’s demand therefor.</w:t>
      </w:r>
    </w:p>
    <w:p>
      <w:pPr>
        <w:spacing w:after="0" w:line="155" w:lineRule="exact"/>
        <w:rPr>
          <w:sz w:val="20"/>
          <w:szCs w:val="20"/>
          <w:color w:val="auto"/>
        </w:rPr>
      </w:pPr>
    </w:p>
    <w:p>
      <w:pPr>
        <w:ind w:firstLine="987"/>
        <w:spacing w:after="0" w:line="272" w:lineRule="auto"/>
        <w:rPr>
          <w:sz w:val="20"/>
          <w:szCs w:val="20"/>
          <w:color w:val="auto"/>
        </w:rPr>
      </w:pPr>
      <w:r>
        <w:rPr>
          <w:rFonts w:ascii="Arial" w:cs="Arial" w:eastAsia="Arial" w:hAnsi="Arial"/>
          <w:sz w:val="17"/>
          <w:szCs w:val="17"/>
          <w:color w:val="auto"/>
        </w:rPr>
        <w:t xml:space="preserve">Section 12.19 </w:t>
      </w:r>
      <w:r>
        <w:rPr>
          <w:rFonts w:ascii="Arial" w:cs="Arial" w:eastAsia="Arial" w:hAnsi="Arial"/>
          <w:sz w:val="17"/>
          <w:szCs w:val="17"/>
          <w:u w:val="single" w:color="auto"/>
          <w:color w:val="auto"/>
        </w:rPr>
        <w:t>Power of Attorney</w:t>
      </w:r>
      <w:r>
        <w:rPr>
          <w:rFonts w:ascii="Arial" w:cs="Arial" w:eastAsia="Arial" w:hAnsi="Arial"/>
          <w:sz w:val="17"/>
          <w:szCs w:val="17"/>
          <w:color w:val="auto"/>
        </w:rPr>
        <w:t>. The Borrower irrevocably authorizes the Administrative Agent and appoints the Administrative Agent as its attorney-in-fact to act on behalf of the Borrower (i) to file financing statements necessary or desirable in the Administrative Agent’s sole discretion to perfect and to maintain the perfection and priority of the interest of the Secured Parties in the Collateral Portfolio and (ii) to file a carbon, photographic or other reproduction of this Agreement or any financing statement with respect to the Collateral Portfolio as a financing statement in such offices as the Administrative Agent in its sole discretion deems necessary or desirable to perfect and to maintain the perfection and priority of the interests of the Secured Parties in the Collateral Portfolio. This appointment is coupled with an interest and is irrevocable.</w:t>
      </w:r>
    </w:p>
    <w:p>
      <w:pPr>
        <w:spacing w:after="0" w:line="176" w:lineRule="exact"/>
        <w:rPr>
          <w:sz w:val="20"/>
          <w:szCs w:val="20"/>
          <w:color w:val="auto"/>
        </w:rPr>
      </w:pPr>
    </w:p>
    <w:p>
      <w:pPr>
        <w:jc w:val="both"/>
        <w:ind w:right="180" w:firstLine="987"/>
        <w:spacing w:after="0" w:line="258" w:lineRule="auto"/>
        <w:rPr>
          <w:sz w:val="20"/>
          <w:szCs w:val="20"/>
          <w:color w:val="auto"/>
        </w:rPr>
      </w:pPr>
      <w:r>
        <w:rPr>
          <w:rFonts w:ascii="Arial" w:cs="Arial" w:eastAsia="Arial" w:hAnsi="Arial"/>
          <w:sz w:val="18"/>
          <w:szCs w:val="18"/>
          <w:color w:val="auto"/>
        </w:rPr>
        <w:t xml:space="preserve">Section 12.20 </w:t>
      </w:r>
      <w:r>
        <w:rPr>
          <w:rFonts w:ascii="Arial" w:cs="Arial" w:eastAsia="Arial" w:hAnsi="Arial"/>
          <w:sz w:val="18"/>
          <w:szCs w:val="18"/>
          <w:u w:val="single" w:color="auto"/>
          <w:color w:val="auto"/>
        </w:rPr>
        <w:t>Delivery of Termination Statements, Releases, etc.</w:t>
      </w:r>
      <w:r>
        <w:rPr>
          <w:rFonts w:ascii="Arial" w:cs="Arial" w:eastAsia="Arial" w:hAnsi="Arial"/>
          <w:sz w:val="18"/>
          <w:szCs w:val="18"/>
          <w:color w:val="auto"/>
        </w:rPr>
        <w:t xml:space="preserve"> Upon payment in full of all of the Obligations (other than unmatured contingent indemnification obligations) and the termination of this Agreement, the Administrative Agent and the Collateral Agent shall deliver to the Borrower termination statements, reconveyances, releases and other documents necessary or appropriate to evidence the termination of the Pledge and other Liens securing the Obligations, all at the expense of the Borrower.</w:t>
      </w:r>
    </w:p>
    <w:p>
      <w:pPr>
        <w:spacing w:after="0" w:line="185" w:lineRule="exact"/>
        <w:rPr>
          <w:sz w:val="20"/>
          <w:szCs w:val="20"/>
          <w:color w:val="auto"/>
        </w:rPr>
      </w:pPr>
    </w:p>
    <w:p>
      <w:pPr>
        <w:ind w:firstLine="987"/>
        <w:spacing w:after="0" w:line="270" w:lineRule="auto"/>
        <w:rPr>
          <w:sz w:val="20"/>
          <w:szCs w:val="20"/>
          <w:color w:val="auto"/>
        </w:rPr>
      </w:pPr>
      <w:r>
        <w:rPr>
          <w:rFonts w:ascii="Arial" w:cs="Arial" w:eastAsia="Arial" w:hAnsi="Arial"/>
          <w:sz w:val="17"/>
          <w:szCs w:val="17"/>
          <w:color w:val="auto"/>
        </w:rPr>
        <w:t xml:space="preserve">Section 12.21 </w:t>
      </w:r>
      <w:r>
        <w:rPr>
          <w:rFonts w:ascii="Arial" w:cs="Arial" w:eastAsia="Arial" w:hAnsi="Arial"/>
          <w:sz w:val="17"/>
          <w:szCs w:val="17"/>
          <w:u w:val="single" w:color="auto"/>
          <w:color w:val="auto"/>
        </w:rPr>
        <w:t>USA PATRIOT Act</w:t>
      </w:r>
      <w:r>
        <w:rPr>
          <w:rFonts w:ascii="Arial" w:cs="Arial" w:eastAsia="Arial" w:hAnsi="Arial"/>
          <w:sz w:val="17"/>
          <w:szCs w:val="17"/>
          <w:color w:val="auto"/>
        </w:rPr>
        <w:t>. Each of the Lender, the Joint Lead Arrangers, the Collateral Agent and the Administrative Agent (for itself and not on behalf of any Lender) hereby notifies the Borrower, the Servicer and the Transferor that pursuant to the requirements of the USA PATRIOT Act, it is required to obtain, verify, and record information that identifies each of the Borrower, the Servicer and the Transferor, which information includes the name of each of the Borrower, the Servicer and the Transferor and other information that will allow each Lender, Joint Lead Arranger, Collateral Agent or the Administrative Agent, as applicable, to identify the Borrower, the Servicer and the Transferor in accordance with the USA PATRIOT Act, and each of the Borrower, the Servicer and the Transferor agree to provide such information from time to time to each Lender, Joint Lead Arranger, Collateral Agent and the Administrative Agent, as applicable.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0960"/>
          </w:cols>
          <w:pgMar w:left="460" w:top="273" w:right="479" w:bottom="1440" w:gutter="0" w:footer="0" w:header="0"/>
        </w:sectPr>
      </w:pPr>
    </w:p>
    <w:bookmarkStart w:id="254" w:name="page255"/>
    <w:bookmarkEnd w:id="254"/>
    <w:p>
      <w:pPr>
        <w:ind w:right="40" w:firstLine="987"/>
        <w:spacing w:after="0" w:line="30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12.22 </w:t>
      </w:r>
      <w:r>
        <w:rPr>
          <w:rFonts w:ascii="Arial" w:cs="Arial" w:eastAsia="Arial" w:hAnsi="Arial"/>
          <w:sz w:val="16"/>
          <w:szCs w:val="16"/>
          <w:u w:val="single" w:color="auto"/>
          <w:color w:val="auto"/>
        </w:rPr>
        <w:t>Acknowledgment and Consent to Bail-In of EEA Financial Institutions</w:t>
      </w:r>
      <w:r>
        <w:rPr>
          <w:rFonts w:ascii="Arial" w:cs="Arial" w:eastAsia="Arial" w:hAnsi="Arial"/>
          <w:sz w:val="16"/>
          <w:szCs w:val="16"/>
          <w:color w:val="auto"/>
        </w:rPr>
        <w:t>. Notwithstanding anything to the contrary in any Transaction Document or any other agreement, arrangement or understanding among any such parties, each party hereto acknowledges that any liability of any EEA Financial Institution arising under any Transaction Document, to the extent such liability is unsecured, may be subject to the write-down and conversion powers of an EEA Resolution Authority and agrees and consents to, and acknowledges and agrees to be bound by:</w:t>
      </w:r>
    </w:p>
    <w:p>
      <w:pPr>
        <w:spacing w:after="0" w:line="48" w:lineRule="exact"/>
        <w:rPr>
          <w:sz w:val="20"/>
          <w:szCs w:val="20"/>
          <w:color w:val="auto"/>
        </w:rPr>
      </w:pPr>
    </w:p>
    <w:p>
      <w:pPr>
        <w:ind w:right="220" w:firstLine="989"/>
        <w:spacing w:after="0" w:line="275" w:lineRule="auto"/>
        <w:tabs>
          <w:tab w:leader="none" w:pos="123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3" w:lineRule="exact"/>
        <w:rPr>
          <w:rFonts w:ascii="Arial" w:cs="Arial" w:eastAsia="Arial" w:hAnsi="Arial"/>
          <w:sz w:val="18"/>
          <w:szCs w:val="18"/>
          <w:color w:val="auto"/>
        </w:rPr>
      </w:pPr>
    </w:p>
    <w:p>
      <w:pPr>
        <w:ind w:left="1240" w:hanging="251"/>
        <w:spacing w:after="0"/>
        <w:tabs>
          <w:tab w:leader="none" w:pos="12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5" w:lineRule="exact"/>
        <w:rPr>
          <w:rFonts w:ascii="Arial" w:cs="Arial" w:eastAsia="Arial" w:hAnsi="Arial"/>
          <w:sz w:val="18"/>
          <w:szCs w:val="18"/>
          <w:color w:val="auto"/>
        </w:rPr>
      </w:pPr>
    </w:p>
    <w:p>
      <w:pPr>
        <w:ind w:left="1080" w:hanging="219"/>
        <w:spacing w:after="0"/>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5" w:lineRule="exact"/>
        <w:rPr>
          <w:rFonts w:ascii="Arial" w:cs="Arial" w:eastAsia="Arial" w:hAnsi="Arial"/>
          <w:sz w:val="18"/>
          <w:szCs w:val="18"/>
          <w:color w:val="auto"/>
        </w:rPr>
      </w:pPr>
    </w:p>
    <w:p>
      <w:pPr>
        <w:ind w:left="440" w:right="240" w:firstLine="421"/>
        <w:spacing w:after="0" w:line="310" w:lineRule="auto"/>
        <w:tabs>
          <w:tab w:leader="none" w:pos="1125" w:val="left"/>
        </w:tabs>
        <w:numPr>
          <w:ilvl w:val="0"/>
          <w:numId w:val="261"/>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39" w:lineRule="exact"/>
        <w:rPr>
          <w:rFonts w:ascii="Arial" w:cs="Arial" w:eastAsia="Arial" w:hAnsi="Arial"/>
          <w:sz w:val="16"/>
          <w:szCs w:val="16"/>
          <w:color w:val="auto"/>
        </w:rPr>
      </w:pPr>
    </w:p>
    <w:p>
      <w:pPr>
        <w:ind w:left="440" w:right="600" w:firstLine="421"/>
        <w:spacing w:after="0" w:line="275" w:lineRule="auto"/>
        <w:tabs>
          <w:tab w:leader="none" w:pos="117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12.23 Erroneous Payments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w:t>
      </w:r>
    </w:p>
    <w:p>
      <w:pPr>
        <w:spacing w:after="0" w:line="115" w:lineRule="exact"/>
        <w:rPr>
          <w:sz w:val="20"/>
          <w:szCs w:val="20"/>
          <w:color w:val="auto"/>
        </w:rPr>
      </w:pPr>
    </w:p>
    <w:p>
      <w:pPr>
        <w:ind w:left="440" w:firstLine="421"/>
        <w:spacing w:after="0" w:line="268" w:lineRule="auto"/>
        <w:tabs>
          <w:tab w:leader="none" w:pos="1075" w:val="left"/>
        </w:tabs>
        <w:numPr>
          <w:ilvl w:val="0"/>
          <w:numId w:val="262"/>
        </w:numPr>
        <w:rPr>
          <w:rFonts w:ascii="Arial" w:cs="Arial" w:eastAsia="Arial" w:hAnsi="Arial"/>
          <w:sz w:val="17"/>
          <w:szCs w:val="17"/>
          <w:color w:val="auto"/>
        </w:rPr>
      </w:pPr>
      <w:r>
        <w:rPr>
          <w:rFonts w:ascii="Arial" w:cs="Arial" w:eastAsia="Arial" w:hAnsi="Arial"/>
          <w:sz w:val="17"/>
          <w:szCs w:val="17"/>
          <w:color w:val="auto"/>
        </w:rPr>
        <w:t>If the Administrative Agent notifies a Lender, Secured Party or other recipient that the Administrative Agent has determined in its sole discretion that any funds received by such recipient from the Administrative Agent or any of its Affiliates were erroneously transmitted to, or otherwise erroneously or mistakenly received by such-recipient (whether or not known to such recipient) (any such funds whether as a payment, prepayment or repayment of principal, interest, fees or other amounts; a distribution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and any such recipient, an (“</w:t>
      </w:r>
      <w:r>
        <w:rPr>
          <w:rFonts w:ascii="Arial" w:cs="Arial" w:eastAsia="Arial" w:hAnsi="Arial"/>
          <w:sz w:val="17"/>
          <w:szCs w:val="17"/>
          <w:u w:val="single" w:color="auto"/>
          <w:color w:val="auto"/>
        </w:rPr>
        <w:t>Unintended Recipient</w:t>
      </w:r>
      <w:r>
        <w:rPr>
          <w:rFonts w:ascii="Arial" w:cs="Arial" w:eastAsia="Arial" w:hAnsi="Arial"/>
          <w:sz w:val="17"/>
          <w:szCs w:val="17"/>
          <w:color w:val="auto"/>
        </w:rPr>
        <w:t>”)) and demands the return of such Payment (or a portion thereof), such Unintended Recipient shall promptly, but in no event later than one Business Day thereafter, return to the Administrative Agent the amount of any such Payment (or portion thereof) as to which such demand was made, in same day funds in Dollars, together with interest thereon in respect of each day from and including the day such Payment (or portion thereof) was received by such Unintended Recipient to the date such amount is repaid to the Administrative Agent in same day funds at a rate determined by the Administrative Agent in accordance with banking industry rules on interbank compensation from time to time in effect.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0940"/>
          </w:cols>
          <w:pgMar w:left="460" w:top="273" w:right="499" w:bottom="1440" w:gutter="0" w:footer="0" w:header="0"/>
        </w:sectPr>
      </w:pPr>
    </w:p>
    <w:bookmarkStart w:id="255" w:name="page256"/>
    <w:bookmarkEnd w:id="255"/>
    <w:p>
      <w:pPr>
        <w:jc w:val="both"/>
        <w:ind w:left="440" w:right="80" w:firstLine="421"/>
        <w:spacing w:after="0" w:line="258" w:lineRule="auto"/>
        <w:tabs>
          <w:tab w:leader="none" w:pos="1125" w:val="left"/>
        </w:tabs>
        <w:numPr>
          <w:ilvl w:val="1"/>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To the extent permitted by applicable law, each party hereto and each Secured Party shall not assert any right or claim to the Payment, and hereby waives, any claim, counterclaim, defense or right of set-off or recoupment with respect to any demand, claim or counterclaim by the Administrative Agent for the return of any Payments received, including without limitation waiver of any defense based on “discharge for value” or any similar doctrine.</w:t>
      </w:r>
    </w:p>
    <w:p>
      <w:pPr>
        <w:spacing w:after="0" w:line="77" w:lineRule="exact"/>
        <w:rPr>
          <w:rFonts w:ascii="Arial" w:cs="Arial" w:eastAsia="Arial" w:hAnsi="Arial"/>
          <w:sz w:val="18"/>
          <w:szCs w:val="18"/>
          <w:color w:val="auto"/>
        </w:rPr>
      </w:pPr>
    </w:p>
    <w:p>
      <w:pPr>
        <w:ind w:left="1180" w:hanging="319"/>
        <w:spacing w:after="0"/>
        <w:tabs>
          <w:tab w:leader="none" w:pos="118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A notice of the Administrative Agent to any Unintended Recipient under this clause (a) shall be conclusive, absent manifest error.</w:t>
      </w:r>
    </w:p>
    <w:p>
      <w:pPr>
        <w:spacing w:after="0" w:line="127" w:lineRule="exact"/>
        <w:rPr>
          <w:rFonts w:ascii="Arial" w:cs="Arial" w:eastAsia="Arial" w:hAnsi="Arial"/>
          <w:sz w:val="17"/>
          <w:szCs w:val="17"/>
          <w:color w:val="auto"/>
        </w:rPr>
      </w:pPr>
    </w:p>
    <w:p>
      <w:pPr>
        <w:ind w:left="700" w:hanging="260"/>
        <w:spacing w:after="0"/>
        <w:tabs>
          <w:tab w:leader="none" w:pos="7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 an Unintended Recipient receives a Payment from the Administrative Agent (or any of its Affiliates):</w:t>
      </w:r>
    </w:p>
    <w:p>
      <w:pPr>
        <w:spacing w:after="0" w:line="115" w:lineRule="exact"/>
        <w:rPr>
          <w:rFonts w:ascii="Arial" w:cs="Arial" w:eastAsia="Arial" w:hAnsi="Arial"/>
          <w:sz w:val="18"/>
          <w:szCs w:val="18"/>
          <w:color w:val="auto"/>
        </w:rPr>
      </w:pPr>
    </w:p>
    <w:p>
      <w:pPr>
        <w:ind w:left="440" w:right="260" w:firstLine="421"/>
        <w:spacing w:after="0" w:line="275" w:lineRule="auto"/>
        <w:tabs>
          <w:tab w:leader="none" w:pos="107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that is in a different amount than, or on a different date from, that specified in a notice of payment or calculation statement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1120" w:hanging="259"/>
        <w:spacing w:after="0"/>
        <w:tabs>
          <w:tab w:leader="none" w:pos="11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that was not preceded or accompanied by a Payment Notice, or</w:t>
      </w:r>
    </w:p>
    <w:p>
      <w:pPr>
        <w:spacing w:after="0" w:line="115" w:lineRule="exact"/>
        <w:rPr>
          <w:rFonts w:ascii="Arial" w:cs="Arial" w:eastAsia="Arial" w:hAnsi="Arial"/>
          <w:sz w:val="18"/>
          <w:szCs w:val="18"/>
          <w:color w:val="auto"/>
        </w:rPr>
      </w:pPr>
    </w:p>
    <w:p>
      <w:pPr>
        <w:ind w:left="440" w:right="80" w:firstLine="421"/>
        <w:spacing w:after="0" w:line="275" w:lineRule="auto"/>
        <w:tabs>
          <w:tab w:leader="none" w:pos="1174"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that such Unintended Recipient otherwise becomes aware was transmitted, or received, in error or mistake (in whole or in part) or such payment is otherwise inconsistent with such recipient’s or market expectations;</w:t>
      </w:r>
    </w:p>
    <w:p>
      <w:pPr>
        <w:spacing w:after="0" w:line="171"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in each case, an error shall be presumed to have been made with respect to such Payment absent written confirmation from the Administrative Agent to the contrary. Upon demand from the Administrative Agent, such Unintended Recipient shall promptly, but in no event later than one Business Day thereafter, return to the Administrative Agent the amount of any such Payment (or portion thereof) as to which such a demand was made.</w:t>
      </w:r>
    </w:p>
    <w:p>
      <w:pPr>
        <w:spacing w:after="0" w:line="40" w:lineRule="exact"/>
        <w:rPr>
          <w:sz w:val="20"/>
          <w:szCs w:val="20"/>
          <w:color w:val="auto"/>
        </w:rPr>
      </w:pPr>
    </w:p>
    <w:p>
      <w:pPr>
        <w:jc w:val="both"/>
        <w:ind w:firstLine="440"/>
        <w:spacing w:after="0" w:line="310" w:lineRule="auto"/>
        <w:tabs>
          <w:tab w:leader="none" w:pos="682"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Borrower and each other party hereto hereby agrees that the receipt by an Unintended Recipient of a Payment shall not pay, prepay, repay, discharge or otherwise satisfy any Obligations owed to such Unintended Recipient by the Borrower or any other party hereto to the extent such Payment was not made from funds provided by the Borrower or an Affiliate thereof or for such purpose from funds on deposit in any account of the Borrower.</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12.24 Benchmark Replacement Setting</w:t>
      </w:r>
    </w:p>
    <w:p>
      <w:pPr>
        <w:spacing w:after="0" w:line="115" w:lineRule="exact"/>
        <w:rPr>
          <w:sz w:val="20"/>
          <w:szCs w:val="20"/>
          <w:color w:val="auto"/>
        </w:rPr>
      </w:pPr>
    </w:p>
    <w:p>
      <w:pPr>
        <w:ind w:right="120" w:firstLine="989"/>
        <w:spacing w:after="0" w:line="269" w:lineRule="auto"/>
        <w:tabs>
          <w:tab w:leader="none" w:pos="1230" w:val="left"/>
        </w:tabs>
        <w:numPr>
          <w:ilvl w:val="0"/>
          <w:numId w:val="266"/>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herein or in any other Transaction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for such Benchmark Replacement Date, in connection with a Benchmark Transition Event,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(3) of the definition of “Benchmark Replacement” for such Benchmark Replacement Date, or in connection with an Early Opt-in Election, such Benchmark Replacement will replace such Benchmark for all purposes hereunder and under any Transaction Document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0920"/>
          </w:cols>
          <w:pgMar w:left="460" w:top="273" w:right="519" w:bottom="1440" w:gutter="0" w:footer="0" w:header="0"/>
        </w:sectPr>
      </w:pPr>
    </w:p>
    <w:bookmarkStart w:id="256" w:name="page257"/>
    <w:bookmarkEnd w:id="256"/>
    <w:p>
      <w:pPr>
        <w:ind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respect of any Benchmark setting at or after 5:00 p.m. (New York City time) on the fifth (5th) Business Day after the date notice of such Benchmark Replacement is provided to the Borrower without any amendment to this Agreement or any other Transaction Document, or further action or consent of the Borrower, so long as the Administrative Agent has not received, by such time, written notice of objection to such Benchmark Replacement from the Borrower.</w:t>
      </w:r>
    </w:p>
    <w:p>
      <w:pPr>
        <w:spacing w:after="0" w:line="77" w:lineRule="exact"/>
        <w:rPr>
          <w:sz w:val="20"/>
          <w:szCs w:val="20"/>
          <w:color w:val="auto"/>
        </w:rPr>
      </w:pPr>
    </w:p>
    <w:p>
      <w:pPr>
        <w:ind w:left="440" w:firstLine="421"/>
        <w:spacing w:after="0" w:line="283" w:lineRule="auto"/>
        <w:tabs>
          <w:tab w:leader="none" w:pos="107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If (i) a Benchmark Replacement Date has occurred and the applicable Benchmark Replacement on such Benchmark Replacement Date is a Benchmark Replacement other than the sum of: (a) Term SOFR and (b) the related Benchmark Replacement Adjustment, (ii) subsequently, the Relevant Governmental Body recommends for use a forward-looking term rate based on SOFR and the Borrower requests that the Lender review the administrative feasibility of such recommended forward-looking term rate for purposes of this Agreement and (iii) following such request from the Borrower, the Lender determines (in its sole discretion) that such forward looking term rate is administratively feasible for the Lender, then the Lender may (in its sole discretion) provide the Borrower with written notice that from and after a date identified in such notice: (i) a Benchmark Replacement Date shall be deemed to have occurred, the Benchmark Replacement on such Benchmark Replacement Date shall be deemed to be a Benchmark Replacement determined in accordance with clause (1) of the definition of “Benchmark Replacement” under this </w:t>
      </w:r>
      <w:r>
        <w:rPr>
          <w:rFonts w:ascii="Arial" w:cs="Arial" w:eastAsia="Arial" w:hAnsi="Arial"/>
          <w:sz w:val="16"/>
          <w:szCs w:val="16"/>
          <w:u w:val="single" w:color="auto"/>
          <w:color w:val="auto"/>
        </w:rPr>
        <w:t>Section 12.24</w:t>
      </w:r>
      <w:r>
        <w:rPr>
          <w:rFonts w:ascii="Arial" w:cs="Arial" w:eastAsia="Arial" w:hAnsi="Arial"/>
          <w:sz w:val="16"/>
          <w:szCs w:val="16"/>
          <w:color w:val="auto"/>
        </w:rPr>
        <w:t xml:space="preserve">; provided, however, that if upon such Benchmark Replacement Date the Benchmark Replacement Adjustment is unable to be determined in accordance with clause (1) of the definition of “Benchmark Replacement” and the corresponding definition of “Benchmark Replacement Adjustment”, then the Benchmark Replacement Adjustment in effect immediately prior to such new Benchmark Replacement Date shall be utilized for purposes of this Benchmark Replacement (for avoidance of doubt, for purposes of this proviso, such Benchmark Replacement Adjustment shall be the Benchmark Replacement Adjustment which was established in accordance with the definition of “Benchmark Replacement Adjustment” on the date determined in accordance with clauses (1) or (2), as applicable, of the definition of “Benchmark Replacement Date” hereunder) and (ii) such forward looking term rate shall be deemed to be the forward looking term rate referenced in the definition of “Term SOFR” for all purposes hereunder or under any Transaction Document in respect of any Benchmark setting and any subsequent Benchmark settings, without any amendment to, or further action or consent of any other party to, this Agreement or any other Transaction Document. For the avoidance of doubt, if the circumstances described in the immediately preceding sentence shall occur, all applicable provisions set forth in this </w:t>
      </w:r>
      <w:r>
        <w:rPr>
          <w:rFonts w:ascii="Arial" w:cs="Arial" w:eastAsia="Arial" w:hAnsi="Arial"/>
          <w:sz w:val="16"/>
          <w:szCs w:val="16"/>
          <w:u w:val="single" w:color="auto"/>
          <w:color w:val="auto"/>
        </w:rPr>
        <w:t>Section 12.24</w:t>
      </w:r>
      <w:r>
        <w:rPr>
          <w:rFonts w:ascii="Arial" w:cs="Arial" w:eastAsia="Arial" w:hAnsi="Arial"/>
          <w:sz w:val="16"/>
          <w:szCs w:val="16"/>
          <w:color w:val="auto"/>
        </w:rPr>
        <w:t xml:space="preserve"> shall apply with respect to such election of the Lender as completely as if such forward-looking term rate was initially determined in accordance with clause (1) of the definition of “Benchmark Replacement”, including, without limitation, the provisions set forth in clauses (b) and (f) of this </w:t>
      </w:r>
      <w:r>
        <w:rPr>
          <w:rFonts w:ascii="Arial" w:cs="Arial" w:eastAsia="Arial" w:hAnsi="Arial"/>
          <w:sz w:val="16"/>
          <w:szCs w:val="16"/>
          <w:u w:val="single" w:color="auto"/>
          <w:color w:val="auto"/>
        </w:rPr>
        <w:t>Section 12.24</w:t>
      </w:r>
      <w:r>
        <w:rPr>
          <w:rFonts w:ascii="Arial" w:cs="Arial" w:eastAsia="Arial" w:hAnsi="Arial"/>
          <w:sz w:val="16"/>
          <w:szCs w:val="16"/>
          <w:color w:val="auto"/>
        </w:rPr>
        <w:t>.</w:t>
      </w:r>
    </w:p>
    <w:p>
      <w:pPr>
        <w:spacing w:after="0" w:line="283" w:lineRule="exact"/>
        <w:rPr>
          <w:rFonts w:ascii="Arial" w:cs="Arial" w:eastAsia="Arial" w:hAnsi="Arial"/>
          <w:sz w:val="16"/>
          <w:szCs w:val="16"/>
          <w:color w:val="auto"/>
        </w:rPr>
      </w:pPr>
    </w:p>
    <w:p>
      <w:pPr>
        <w:ind w:right="220" w:firstLine="989"/>
        <w:spacing w:after="0" w:line="277" w:lineRule="auto"/>
        <w:tabs>
          <w:tab w:leader="none" w:pos="1240"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In connection with the implementation of a Benchmark Replacement, the Administrative Agent, in consultation with the Servicer,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the Borrower.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20"/>
          </w:cols>
          <w:pgMar w:left="460" w:top="273" w:right="519" w:bottom="1440" w:gutter="0" w:footer="0" w:header="0"/>
        </w:sectPr>
      </w:pPr>
    </w:p>
    <w:bookmarkStart w:id="257" w:name="page258"/>
    <w:bookmarkEnd w:id="257"/>
    <w:p>
      <w:pPr>
        <w:ind w:left="1238" w:hanging="251"/>
        <w:spacing w:after="0"/>
        <w:tabs>
          <w:tab w:leader="none" w:pos="1238"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Notices; Standards for Decisions and Determinations</w:t>
      </w:r>
      <w:r>
        <w:rPr>
          <w:rFonts w:ascii="Arial" w:cs="Arial" w:eastAsia="Arial" w:hAnsi="Arial"/>
          <w:sz w:val="16"/>
          <w:szCs w:val="16"/>
          <w:color w:val="auto"/>
        </w:rPr>
        <w:t>. The Administrative Agent will promptly notify the Borrower and the Servicer of</w:t>
      </w:r>
    </w:p>
    <w:p>
      <w:pPr>
        <w:spacing w:after="0" w:line="45" w:lineRule="exact"/>
        <w:rPr>
          <w:rFonts w:ascii="Arial" w:cs="Arial" w:eastAsia="Arial" w:hAnsi="Arial"/>
          <w:sz w:val="16"/>
          <w:szCs w:val="16"/>
          <w:color w:val="auto"/>
        </w:rPr>
      </w:pPr>
    </w:p>
    <w:p>
      <w:pPr>
        <w:ind w:left="-2" w:firstLine="2"/>
        <w:spacing w:after="0" w:line="266" w:lineRule="auto"/>
        <w:tabs>
          <w:tab w:leader="none" w:pos="21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any Benchmark Replacement Date and the related Benchmark Replacement, (ii) the effectiveness of any Benchmark Replacement Conforming Changes, (iii) the removal or reinstatement of any tenor of a Benchmark pursuant to clause (d) below and (iv) the commencement or conclusion of any Benchmark Unavailability Period. For the avoidance of doubt, any notice required to be delivered by the Administrative Agent as set forth in this </w:t>
      </w:r>
      <w:r>
        <w:rPr>
          <w:rFonts w:ascii="Arial" w:cs="Arial" w:eastAsia="Arial" w:hAnsi="Arial"/>
          <w:sz w:val="17"/>
          <w:szCs w:val="17"/>
          <w:u w:val="single" w:color="auto"/>
          <w:color w:val="auto"/>
        </w:rPr>
        <w:t>Section 12.24</w:t>
      </w:r>
      <w:r>
        <w:rPr>
          <w:rFonts w:ascii="Arial" w:cs="Arial" w:eastAsia="Arial" w:hAnsi="Arial"/>
          <w:sz w:val="17"/>
          <w:szCs w:val="17"/>
          <w:color w:val="auto"/>
        </w:rPr>
        <w:t xml:space="preserve"> may be provided, at the option of the Administrative Agent (in its sole discretion), in one or more notices and may be delivered together with, or as part of any amendment which implements any Benchmark Replacement or Benchmark Conforming Changes. Any determination, decision or election that may be made by the Administrative Agent pursuant to this </w:t>
      </w:r>
      <w:r>
        <w:rPr>
          <w:rFonts w:ascii="Arial" w:cs="Arial" w:eastAsia="Arial" w:hAnsi="Arial"/>
          <w:sz w:val="17"/>
          <w:szCs w:val="17"/>
          <w:u w:val="single" w:color="auto"/>
          <w:color w:val="auto"/>
        </w:rPr>
        <w:t>Section 12.24</w:t>
      </w:r>
      <w:r>
        <w:rPr>
          <w:rFonts w:ascii="Arial" w:cs="Arial" w:eastAsia="Arial" w:hAnsi="Arial"/>
          <w:sz w:val="17"/>
          <w:szCs w:val="17"/>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sole discretion and without consent from the Borrower, except, in each case, as expressly required pursuant to this </w:t>
      </w:r>
      <w:r>
        <w:rPr>
          <w:rFonts w:ascii="Arial" w:cs="Arial" w:eastAsia="Arial" w:hAnsi="Arial"/>
          <w:sz w:val="17"/>
          <w:szCs w:val="17"/>
          <w:u w:val="single" w:color="auto"/>
          <w:color w:val="auto"/>
        </w:rPr>
        <w:t>Section 12.24</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2" w:right="80" w:firstLine="989"/>
        <w:spacing w:after="0" w:line="268" w:lineRule="auto"/>
        <w:tabs>
          <w:tab w:leader="none" w:pos="1238"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Unavailability of Tenor of Benchmark</w:t>
      </w:r>
      <w:r>
        <w:rPr>
          <w:rFonts w:ascii="Arial" w:cs="Arial" w:eastAsia="Arial" w:hAnsi="Arial"/>
          <w:sz w:val="17"/>
          <w:szCs w:val="17"/>
          <w:color w:val="auto"/>
        </w:rPr>
        <w:t>. Notwithstanding anything to the contrary herein or in any other Transaction Document, at any time (including in connection with the implementation of a Benchmark Replacement), (i) if the then-current Benchmark is a term rate (including Term SOFR, Daily LIBOR or Fixed LIBOR) and either (A) any tenor for such Benchmark is not displayed on a screen or other information service that publishes such rate from time to time as selected by the Administrative Agent, in consultation with the Borrower, in its reasonable discretion or (B) the regulatory supervisor for the administrator of such Benchmark has provided a public statement or publication of information announcing that any tenor for such Benchmark is or will be no longer representative, then the Administrative Agent, in consultation with the Borrower, may modify the definition of “Remittance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“Remittance Period” for all Benchmark settings at or after such time to reinstate such previously removed tenor.</w:t>
      </w:r>
    </w:p>
    <w:p>
      <w:pPr>
        <w:spacing w:after="0" w:line="71" w:lineRule="exact"/>
        <w:rPr>
          <w:rFonts w:ascii="Arial" w:cs="Arial" w:eastAsia="Arial" w:hAnsi="Arial"/>
          <w:sz w:val="17"/>
          <w:szCs w:val="17"/>
          <w:color w:val="auto"/>
        </w:rPr>
      </w:pPr>
    </w:p>
    <w:p>
      <w:pPr>
        <w:ind w:left="-2" w:right="20" w:firstLine="989"/>
        <w:spacing w:after="0" w:line="272" w:lineRule="auto"/>
        <w:tabs>
          <w:tab w:leader="none" w:pos="1228"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Benchmark Unavailability Period</w:t>
      </w:r>
      <w:r>
        <w:rPr>
          <w:rFonts w:ascii="Arial" w:cs="Arial" w:eastAsia="Arial" w:hAnsi="Arial"/>
          <w:sz w:val="17"/>
          <w:szCs w:val="17"/>
          <w:color w:val="auto"/>
        </w:rPr>
        <w:t>. Upon the Borrower’s receipt of notice of the commencement of a Benchmark Unavailability Period, the Borrower may revoke any request for a Borrowing of, conversion to or continuation of Advances to be made, converted or continued during any Benchmark Unavailability Period and, failing that, the Borrower will be deemed to have converted any such request into a request for a Borrowing of or conversion to Advances bearing interest at the Base Rate.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08" w:lineRule="exact"/>
        <w:rPr>
          <w:sz w:val="20"/>
          <w:szCs w:val="20"/>
          <w:color w:val="auto"/>
        </w:rPr>
      </w:pPr>
    </w:p>
    <w:p>
      <w:pPr>
        <w:jc w:val="center"/>
        <w:ind w:right="-37"/>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0938"/>
          </w:cols>
          <w:pgMar w:left="462" w:top="273" w:right="499" w:bottom="1440" w:gutter="0" w:footer="0" w:header="0"/>
        </w:sectPr>
      </w:pPr>
    </w:p>
    <w:bookmarkStart w:id="258" w:name="page259"/>
    <w:bookmarkEnd w:id="258"/>
    <w:p>
      <w:pPr>
        <w:ind w:left="1220" w:hanging="231"/>
        <w:spacing w:after="0"/>
        <w:tabs>
          <w:tab w:leader="none" w:pos="1220" w:val="left"/>
        </w:tabs>
        <w:numPr>
          <w:ilvl w:val="1"/>
          <w:numId w:val="2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w:t>
      </w:r>
      <w:r>
        <w:rPr>
          <w:rFonts w:ascii="Arial" w:cs="Arial" w:eastAsia="Arial" w:hAnsi="Arial"/>
          <w:sz w:val="16"/>
          <w:szCs w:val="16"/>
          <w:u w:val="single" w:color="auto"/>
          <w:color w:val="auto"/>
        </w:rPr>
        <w:t>isclaimer</w:t>
      </w:r>
      <w:r>
        <w:rPr>
          <w:rFonts w:ascii="Arial" w:cs="Arial" w:eastAsia="Arial" w:hAnsi="Arial"/>
          <w:sz w:val="16"/>
          <w:szCs w:val="16"/>
          <w:color w:val="auto"/>
        </w:rPr>
        <w:t>. The Administrative Agent does not warrant or accept any responsibility for, and shall not have any liability with respect to</w:t>
      </w:r>
    </w:p>
    <w:p>
      <w:pPr>
        <w:spacing w:after="0" w:line="45" w:lineRule="exact"/>
        <w:rPr>
          <w:rFonts w:ascii="Arial" w:cs="Arial" w:eastAsia="Arial" w:hAnsi="Arial"/>
          <w:sz w:val="16"/>
          <w:szCs w:val="16"/>
          <w:color w:val="auto"/>
        </w:rPr>
      </w:pPr>
    </w:p>
    <w:p>
      <w:pPr>
        <w:ind w:left="220" w:hanging="218"/>
        <w:spacing w:after="0"/>
        <w:tabs>
          <w:tab w:leader="none" w:pos="22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administration, submission or any other matter related to the London interbank offered rate, SONIA, the EURIBOR Rate or other rates in the</w:t>
      </w:r>
    </w:p>
    <w:p>
      <w:pPr>
        <w:spacing w:after="0" w:line="30" w:lineRule="exact"/>
        <w:rPr>
          <w:rFonts w:ascii="Arial" w:cs="Arial" w:eastAsia="Arial" w:hAnsi="Arial"/>
          <w:sz w:val="16"/>
          <w:szCs w:val="16"/>
          <w:color w:val="auto"/>
        </w:rPr>
      </w:pPr>
    </w:p>
    <w:p>
      <w:pPr>
        <w:ind w:right="120"/>
        <w:spacing w:after="0" w:line="280" w:lineRule="auto"/>
        <w:rPr>
          <w:rFonts w:ascii="Arial" w:cs="Arial" w:eastAsia="Arial" w:hAnsi="Arial"/>
          <w:sz w:val="16"/>
          <w:szCs w:val="16"/>
          <w:color w:val="auto"/>
        </w:rPr>
      </w:pPr>
      <w:r>
        <w:rPr>
          <w:rFonts w:ascii="Arial" w:cs="Arial" w:eastAsia="Arial" w:hAnsi="Arial"/>
          <w:sz w:val="16"/>
          <w:szCs w:val="16"/>
          <w:color w:val="auto"/>
        </w:rPr>
        <w:t xml:space="preserve">definition of “Applicable Spread”, “Applicable Reference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Daily LIBOR, SONIA, the EURIBOR Rate (or any other Benchmark) or have the same volume or liquidity as did Daily LIBOR, SONIA, the EURIBOR Rate (or any other Benchmark), (iii) any actions or use of its discretion or other decisions or determinations made with respect to any matters covered by this </w:t>
      </w:r>
      <w:r>
        <w:rPr>
          <w:rFonts w:ascii="Arial" w:cs="Arial" w:eastAsia="Arial" w:hAnsi="Arial"/>
          <w:sz w:val="16"/>
          <w:szCs w:val="16"/>
          <w:u w:val="single" w:color="auto"/>
          <w:color w:val="auto"/>
        </w:rPr>
        <w:t>Section 12.24</w:t>
      </w:r>
      <w:r>
        <w:rPr>
          <w:rFonts w:ascii="Arial" w:cs="Arial" w:eastAsia="Arial" w:hAnsi="Arial"/>
          <w:sz w:val="16"/>
          <w:szCs w:val="16"/>
          <w:color w:val="auto"/>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clause</w:t>
      </w:r>
    </w:p>
    <w:p>
      <w:pPr>
        <w:spacing w:after="0" w:line="2" w:lineRule="exact"/>
        <w:rPr>
          <w:rFonts w:ascii="Arial" w:cs="Arial" w:eastAsia="Arial" w:hAnsi="Arial"/>
          <w:sz w:val="16"/>
          <w:szCs w:val="16"/>
          <w:color w:val="auto"/>
        </w:rPr>
      </w:pPr>
    </w:p>
    <w:p>
      <w:pPr>
        <w:ind w:left="260" w:hanging="258"/>
        <w:spacing w:after="0"/>
        <w:tabs>
          <w:tab w:leader="none" w:pos="2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above or otherwise in accordance herewith, and (iv) the effect of any of the foregoing provisions of this </w:t>
      </w:r>
      <w:r>
        <w:rPr>
          <w:rFonts w:ascii="Arial" w:cs="Arial" w:eastAsia="Arial" w:hAnsi="Arial"/>
          <w:sz w:val="18"/>
          <w:szCs w:val="18"/>
          <w:u w:val="single" w:color="auto"/>
          <w:color w:val="auto"/>
        </w:rPr>
        <w:t>Section 12.24</w:t>
      </w:r>
      <w:r>
        <w:rPr>
          <w:rFonts w:ascii="Arial" w:cs="Arial" w:eastAsia="Arial" w:hAnsi="Arial"/>
          <w:sz w:val="18"/>
          <w:szCs w:val="18"/>
          <w:color w:val="auto"/>
        </w:rPr>
        <w:t>.</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12.25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5"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color w:val="auto"/>
        </w:rPr>
        <w:t>To the extent that this Agreement and/or any other Transaction Document constitutes a QFC, the Borrower agrees with each Secured Party as follows:</w:t>
      </w:r>
    </w:p>
    <w:p>
      <w:pPr>
        <w:spacing w:after="0" w:line="63" w:lineRule="exact"/>
        <w:rPr>
          <w:sz w:val="20"/>
          <w:szCs w:val="20"/>
          <w:color w:val="auto"/>
        </w:rPr>
      </w:pPr>
    </w:p>
    <w:p>
      <w:pPr>
        <w:ind w:right="80" w:firstLine="440"/>
        <w:spacing w:after="0" w:line="300" w:lineRule="auto"/>
        <w:tabs>
          <w:tab w:leader="none" w:pos="682"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in the event a Covered Party becomes subject to a proceeding under a U.S. Special Resolution Regime, the transfer of this Agreement and/or any other Transaction Document and any interest and obligation in or under this Agreement and/or any other Transaction Document from such Covered Party, will be effective to the same extent as the transfer would be effective under the U.S. Special Resolution Regime if this Agreement and/or any other Transaction Document, and any such interest and obligation, were governed by the laws of the United States or a state of the United States; and</w:t>
      </w:r>
    </w:p>
    <w:p>
      <w:pPr>
        <w:spacing w:after="0" w:line="47" w:lineRule="exact"/>
        <w:rPr>
          <w:rFonts w:ascii="Arial" w:cs="Arial" w:eastAsia="Arial" w:hAnsi="Arial"/>
          <w:sz w:val="16"/>
          <w:szCs w:val="16"/>
          <w:color w:val="auto"/>
        </w:rPr>
      </w:pPr>
    </w:p>
    <w:p>
      <w:pPr>
        <w:ind w:right="80" w:firstLine="440"/>
        <w:spacing w:after="0" w:line="277" w:lineRule="auto"/>
        <w:tabs>
          <w:tab w:leader="none" w:pos="6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in the event that a Covered Party or a BHC Act Affiliate becomes subject to a proceeding under a U.S. Special Resolution Regime, Default Rights under this Agreement and/or any other Transaction Document that may be exercised against such Covered Party are permitted to be exercised to no greater extent than such Default Rights could be exercised under the U.S. Special Resolution Regime if this Agreement and/or any other Transaction Document were governed by the laws of the United States or a state of the United States.</w:t>
      </w:r>
    </w:p>
    <w:p>
      <w:pPr>
        <w:spacing w:after="0" w:line="17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12.26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115" w:lineRule="exact"/>
        <w:rPr>
          <w:sz w:val="20"/>
          <w:szCs w:val="20"/>
          <w:color w:val="auto"/>
        </w:rPr>
      </w:pPr>
    </w:p>
    <w:p>
      <w:pPr>
        <w:ind w:firstLine="989"/>
        <w:spacing w:after="0" w:line="258" w:lineRule="auto"/>
        <w:tabs>
          <w:tab w:leader="none" w:pos="123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Notwithstanding anything to the contrary in any Transaction Document or in any other agreement, arrangement or understanding among any such parties, each party hereto acknowledges that any liability of any Affected Financial Institution arising under any Transaction Document, to the extent unsecured, may be subject to the write-down and conversion powers of the applicable Resolution Authority and agrees and consents to, and acknowledges and agrees to be bound by:</w:t>
      </w:r>
    </w:p>
    <w:p>
      <w:pPr>
        <w:spacing w:after="0" w:line="77" w:lineRule="exact"/>
        <w:rPr>
          <w:rFonts w:ascii="Arial" w:cs="Arial" w:eastAsia="Arial" w:hAnsi="Arial"/>
          <w:sz w:val="18"/>
          <w:szCs w:val="18"/>
          <w:color w:val="auto"/>
        </w:rPr>
      </w:pPr>
    </w:p>
    <w:p>
      <w:pPr>
        <w:ind w:left="440" w:right="700" w:firstLine="421"/>
        <w:spacing w:after="0" w:line="275" w:lineRule="auto"/>
        <w:tabs>
          <w:tab w:leader="none" w:pos="107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0960"/>
          </w:cols>
          <w:pgMar w:left="460" w:top="273" w:right="479" w:bottom="1440" w:gutter="0" w:footer="0" w:header="0"/>
        </w:sectPr>
      </w:pPr>
    </w:p>
    <w:bookmarkStart w:id="259" w:name="page260"/>
    <w:bookmarkEnd w:id="259"/>
    <w:p>
      <w:pPr>
        <w:ind w:left="1060" w:hanging="259"/>
        <w:spacing w:after="0"/>
        <w:tabs>
          <w:tab w:leader="none" w:pos="10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effects of any Bail-In Action on any such liability, including, if applicable:</w:t>
      </w:r>
    </w:p>
    <w:p>
      <w:pPr>
        <w:spacing w:after="0" w:line="115" w:lineRule="exact"/>
        <w:rPr>
          <w:rFonts w:ascii="Arial" w:cs="Arial" w:eastAsia="Arial" w:hAnsi="Arial"/>
          <w:sz w:val="18"/>
          <w:szCs w:val="18"/>
          <w:color w:val="auto"/>
        </w:rPr>
      </w:pPr>
    </w:p>
    <w:p>
      <w:pPr>
        <w:ind w:left="920" w:right="440" w:firstLine="408"/>
        <w:spacing w:after="0" w:line="275" w:lineRule="auto"/>
        <w:tabs>
          <w:tab w:leader="none" w:pos="161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 (including without limitation a reduction in any accrued or unpaid interest in respect of such liability);</w:t>
      </w:r>
    </w:p>
    <w:p>
      <w:pPr>
        <w:spacing w:after="0" w:line="63" w:lineRule="exact"/>
        <w:rPr>
          <w:rFonts w:ascii="Arial" w:cs="Arial" w:eastAsia="Arial" w:hAnsi="Arial"/>
          <w:sz w:val="18"/>
          <w:szCs w:val="18"/>
          <w:color w:val="auto"/>
        </w:rPr>
      </w:pPr>
    </w:p>
    <w:p>
      <w:pPr>
        <w:ind w:left="920" w:right="40" w:firstLine="408"/>
        <w:spacing w:after="0" w:line="258" w:lineRule="auto"/>
        <w:tabs>
          <w:tab w:leader="none" w:pos="160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77" w:lineRule="exact"/>
        <w:rPr>
          <w:rFonts w:ascii="Arial" w:cs="Arial" w:eastAsia="Arial" w:hAnsi="Arial"/>
          <w:sz w:val="18"/>
          <w:szCs w:val="18"/>
          <w:color w:val="auto"/>
        </w:rPr>
      </w:pPr>
    </w:p>
    <w:p>
      <w:pPr>
        <w:ind w:left="920" w:right="520" w:firstLine="408"/>
        <w:spacing w:after="0" w:line="275" w:lineRule="auto"/>
        <w:tabs>
          <w:tab w:leader="none" w:pos="160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2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COLLATERAL CUSTODIAN</w:t>
      </w:r>
    </w:p>
    <w:p>
      <w:pPr>
        <w:spacing w:after="0" w:line="2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Designation of Collateral Custodian</w:t>
      </w:r>
      <w:r>
        <w:rPr>
          <w:rFonts w:ascii="Arial" w:cs="Arial" w:eastAsia="Arial" w:hAnsi="Arial"/>
          <w:sz w:val="18"/>
          <w:szCs w:val="18"/>
          <w:color w:val="auto"/>
        </w:rPr>
        <w:t>.</w:t>
      </w:r>
    </w:p>
    <w:p>
      <w:pPr>
        <w:spacing w:after="0" w:line="115" w:lineRule="exact"/>
        <w:rPr>
          <w:sz w:val="20"/>
          <w:szCs w:val="20"/>
          <w:color w:val="auto"/>
        </w:rPr>
      </w:pPr>
    </w:p>
    <w:p>
      <w:pPr>
        <w:ind w:left="-60" w:right="60" w:firstLine="989"/>
        <w:spacing w:after="0" w:line="272" w:lineRule="auto"/>
        <w:tabs>
          <w:tab w:leader="none" w:pos="1170"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Initial Collateral Custodian</w:t>
      </w:r>
      <w:r>
        <w:rPr>
          <w:rFonts w:ascii="Arial" w:cs="Arial" w:eastAsia="Arial" w:hAnsi="Arial"/>
          <w:sz w:val="17"/>
          <w:szCs w:val="17"/>
          <w:color w:val="auto"/>
        </w:rPr>
        <w:t xml:space="preserve">. The role of Collateral Custodian with respect to the Required Loan Documents shall be conducted by the Person designated as Collateral Custodian hereunder from time to time in accordance with this </w:t>
      </w:r>
      <w:r>
        <w:rPr>
          <w:rFonts w:ascii="Arial" w:cs="Arial" w:eastAsia="Arial" w:hAnsi="Arial"/>
          <w:sz w:val="17"/>
          <w:szCs w:val="17"/>
          <w:u w:val="single" w:color="auto"/>
          <w:color w:val="auto"/>
        </w:rPr>
        <w:t>Section 13.01</w:t>
      </w:r>
      <w:r>
        <w:rPr>
          <w:rFonts w:ascii="Arial" w:cs="Arial" w:eastAsia="Arial" w:hAnsi="Arial"/>
          <w:sz w:val="17"/>
          <w:szCs w:val="17"/>
          <w:color w:val="auto"/>
        </w:rPr>
        <w:t>. Each of the Borrower, the Administrative Agent and the Lender Agent hereby designate and appoint the Collateral Custodian to act as its agent and hereby authorizes the Collateral Custodian to take such actions on its behalf and to exercise such powers and perform such duties as are expressly granted to the Collateral Custodian by this Agreement. The Collateral Custodian hereby accepts such agency appointment to act as Collateral Custodian pursuant to the terms of this Agreement, until its resignation or removal as Collateral Custodian pursuant to the terms hereof.</w:t>
      </w:r>
    </w:p>
    <w:p>
      <w:pPr>
        <w:spacing w:after="0" w:line="68" w:lineRule="exact"/>
        <w:rPr>
          <w:rFonts w:ascii="Arial" w:cs="Arial" w:eastAsia="Arial" w:hAnsi="Arial"/>
          <w:sz w:val="17"/>
          <w:szCs w:val="17"/>
          <w:color w:val="auto"/>
        </w:rPr>
      </w:pPr>
    </w:p>
    <w:p>
      <w:pPr>
        <w:ind w:left="-60" w:firstLine="989"/>
        <w:spacing w:after="0" w:line="262" w:lineRule="auto"/>
        <w:tabs>
          <w:tab w:leader="none" w:pos="11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Successor Collateral Custodian</w:t>
      </w:r>
      <w:r>
        <w:rPr>
          <w:rFonts w:ascii="Arial" w:cs="Arial" w:eastAsia="Arial" w:hAnsi="Arial"/>
          <w:sz w:val="18"/>
          <w:szCs w:val="18"/>
          <w:color w:val="auto"/>
        </w:rPr>
        <w:t xml:space="preserve">. Upon the Collateral Custodian’s receipt of a Collateral Custodian Termination Notice from the Administrative Agent of the designation of a successor Collateral Custodian pursuant to the provisions of </w:t>
      </w:r>
      <w:r>
        <w:rPr>
          <w:rFonts w:ascii="Arial" w:cs="Arial" w:eastAsia="Arial" w:hAnsi="Arial"/>
          <w:sz w:val="18"/>
          <w:szCs w:val="18"/>
          <w:u w:val="single" w:color="auto"/>
          <w:color w:val="auto"/>
        </w:rPr>
        <w:t>Section 13.05</w:t>
      </w:r>
      <w:r>
        <w:rPr>
          <w:rFonts w:ascii="Arial" w:cs="Arial" w:eastAsia="Arial" w:hAnsi="Arial"/>
          <w:sz w:val="18"/>
          <w:szCs w:val="18"/>
          <w:color w:val="auto"/>
        </w:rPr>
        <w:t>, the Collateral Custodian agrees that it will terminate its activities as Collateral Custodian hereunder.</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Duties of Collateral Custodian</w:t>
      </w:r>
      <w:r>
        <w:rPr>
          <w:rFonts w:ascii="Arial" w:cs="Arial" w:eastAsia="Arial" w:hAnsi="Arial"/>
          <w:sz w:val="18"/>
          <w:szCs w:val="18"/>
          <w:color w:val="auto"/>
        </w:rPr>
        <w:t>.</w:t>
      </w:r>
    </w:p>
    <w:p>
      <w:pPr>
        <w:spacing w:after="0" w:line="115" w:lineRule="exact"/>
        <w:rPr>
          <w:sz w:val="20"/>
          <w:szCs w:val="20"/>
          <w:color w:val="auto"/>
        </w:rPr>
      </w:pPr>
    </w:p>
    <w:p>
      <w:pPr>
        <w:ind w:left="-60" w:right="80" w:firstLine="989"/>
        <w:spacing w:after="0" w:line="262" w:lineRule="auto"/>
        <w:tabs>
          <w:tab w:leader="none" w:pos="117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The Borrower, the Administrative Agent and the Lender Agent each hereby appoints Wells Fargo Bank, N.A. to act as Collateral Custodian, for the benefit of the Secured Parties. The Collateral Custodian hereby accepts such appointment and agrees to perform the duties and obligations with respect thereto set forth herein.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0860"/>
          </w:cols>
          <w:pgMar w:left="520" w:top="273" w:right="519" w:bottom="1440" w:gutter="0" w:footer="0" w:header="0"/>
        </w:sectPr>
      </w:pPr>
    </w:p>
    <w:bookmarkStart w:id="260" w:name="page261"/>
    <w:bookmarkEnd w:id="260"/>
    <w:p>
      <w:pPr>
        <w:ind w:left="-20" w:right="360" w:firstLine="989"/>
        <w:spacing w:after="0" w:line="275" w:lineRule="auto"/>
        <w:tabs>
          <w:tab w:leader="none" w:pos="1220"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Duties</w:t>
      </w:r>
      <w:r>
        <w:rPr>
          <w:rFonts w:ascii="Arial" w:cs="Arial" w:eastAsia="Arial" w:hAnsi="Arial"/>
          <w:sz w:val="18"/>
          <w:szCs w:val="18"/>
          <w:color w:val="auto"/>
        </w:rPr>
        <w:t xml:space="preserve">. From the Closing Date until its removal pursuant to </w:t>
      </w:r>
      <w:r>
        <w:rPr>
          <w:rFonts w:ascii="Arial" w:cs="Arial" w:eastAsia="Arial" w:hAnsi="Arial"/>
          <w:sz w:val="18"/>
          <w:szCs w:val="18"/>
          <w:u w:val="single" w:color="auto"/>
          <w:color w:val="auto"/>
        </w:rPr>
        <w:t>Section 13.05</w:t>
      </w:r>
      <w:r>
        <w:rPr>
          <w:rFonts w:ascii="Arial" w:cs="Arial" w:eastAsia="Arial" w:hAnsi="Arial"/>
          <w:sz w:val="18"/>
          <w:szCs w:val="18"/>
          <w:color w:val="auto"/>
        </w:rPr>
        <w:t>, the Collateral Custodian shall perform, on behalf of the Secured Parties, the following duties and obligations:</w:t>
      </w:r>
    </w:p>
    <w:p>
      <w:pPr>
        <w:spacing w:after="0" w:line="63" w:lineRule="exact"/>
        <w:rPr>
          <w:rFonts w:ascii="Arial" w:cs="Arial" w:eastAsia="Arial" w:hAnsi="Arial"/>
          <w:sz w:val="18"/>
          <w:szCs w:val="18"/>
          <w:color w:val="auto"/>
        </w:rPr>
      </w:pPr>
    </w:p>
    <w:p>
      <w:pPr>
        <w:ind w:left="420" w:firstLine="421"/>
        <w:spacing w:after="0" w:line="283" w:lineRule="auto"/>
        <w:tabs>
          <w:tab w:leader="none" w:pos="105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Collateral Custodian shall take and retain custody of the Required Loan Documents delivered by the Borrower pursuant to </w:t>
      </w:r>
      <w:r>
        <w:rPr>
          <w:rFonts w:ascii="Arial" w:cs="Arial" w:eastAsia="Arial" w:hAnsi="Arial"/>
          <w:sz w:val="16"/>
          <w:szCs w:val="16"/>
          <w:u w:val="single" w:color="auto"/>
          <w:color w:val="auto"/>
        </w:rPr>
        <w:t>Section 3.02(a)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3.04(b)</w:t>
      </w:r>
      <w:r>
        <w:rPr>
          <w:rFonts w:ascii="Arial" w:cs="Arial" w:eastAsia="Arial" w:hAnsi="Arial"/>
          <w:sz w:val="16"/>
          <w:szCs w:val="16"/>
          <w:color w:val="auto"/>
        </w:rPr>
        <w:t xml:space="preserve"> hereof in accordance with the terms and conditions of this Agreement, all for the benefit of the Secured Parties. Within five Business Days of its receipt of any Required Loan Documents, the related Loan Asset Schedule and a hard copy of the Loan Asset Checklist, the Collateral Custodian shall review the Required Loan Documents to confirm that (A) such Required Loan Documents have been executed (either an original or a copy, as indicated on the Loan Asset Checklist) and have no mutilated pages, (B) filed stamped copies of the UCC and other filings (identified on the Loan Asset Checklist) are included, (C) if listed on the Loan Asset Checklist, a copy of an Insurance Policy with respect to any real or personal property constituting the Underlying Collateral is included, and (D) the related original balance (based on a comparison to the note or assignment agreement, as applicable), Loan Asset number and Obligor name, as applicable, with respect to such Loan Asset is referenced on the related Loan Asset Schedule (such items (A) through (D) collectively, the “</w:t>
      </w:r>
      <w:r>
        <w:rPr>
          <w:rFonts w:ascii="Arial" w:cs="Arial" w:eastAsia="Arial" w:hAnsi="Arial"/>
          <w:sz w:val="16"/>
          <w:szCs w:val="16"/>
          <w:u w:val="single" w:color="auto"/>
          <w:color w:val="auto"/>
        </w:rPr>
        <w:t>Review Criteria</w:t>
      </w:r>
      <w:r>
        <w:rPr>
          <w:rFonts w:ascii="Arial" w:cs="Arial" w:eastAsia="Arial" w:hAnsi="Arial"/>
          <w:sz w:val="16"/>
          <w:szCs w:val="16"/>
          <w:color w:val="auto"/>
        </w:rPr>
        <w:t xml:space="preserve">”). In order to facilitate the foregoing review by the Collateral Custodian, in connection with each delivery of Required Loan Documents hereunder to the Collateral Custodian, the Servicer shall provide to the Collateral Custodian a hard copy (which may be preceded by an electronic copy of the related Loan Asset Checklist which contains the Loan Asset information with respect to the Required Loan Documents being delivered, identification number and the name of the Obligor with respect to such Loan Asset. Notwithstanding anything herein to the contrary, the Collateral Custodian’s obligation to review the Required Loan Documents shall be limited to reviewing such Required Loan Documents based on the information provided on the Loan Asset Checklist. If, at the conclusion of such review, the Collateral Custodian shall determine that (i) the original balance of the Loan Asset with respect to which it has received Required Loan Documents is less than as set forth on the Loan Asset Schedule, the Collateral Custodian shall notify the Administrative Agent and the Servicer of such discrepancy within one Business Day, or (ii) any Review Criteria is not satisfied, the Collateral Custodian shall within one Business Day notify the Servicer of such determination and provide the Servicer with a list of the non-complying Loan Assets and the applicable Review Criteria that they fail to satisfy. The Servicer shall have five Business Days after notice or knowledge thereof to correct any non-compliance with any Review Criteria. In addition, if requested in writing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by the Servicer and approved by the Administrative Agent within 10 Business Days of the Collateral Custodian’s delivery of such report, the Collateral Custodian shall return any Loan Asset which fails to satisfy a Review Criteria to the Borrower. Other than the foregoing, the Collateral Custodian shall not have any responsibility for reviewing any Required Loan Documents. Notwithstanding anything to the contrary contained herein, the Collateral Custodian shall have no duty or obligation with respect to any Loan Asset checklist delivered to it in electronic form.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20"/>
          </w:cols>
          <w:pgMar w:left="480" w:top="273" w:right="499" w:bottom="1440" w:gutter="0" w:footer="0" w:header="0"/>
        </w:sectPr>
      </w:pPr>
    </w:p>
    <w:bookmarkStart w:id="261" w:name="page262"/>
    <w:bookmarkEnd w:id="261"/>
    <w:p>
      <w:pPr>
        <w:jc w:val="both"/>
        <w:ind w:left="440" w:right="160" w:firstLine="421"/>
        <w:spacing w:after="0" w:line="258" w:lineRule="auto"/>
        <w:tabs>
          <w:tab w:leader="none" w:pos="1125"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In taking and retaining custody of the Required Loan Documents, the Collateral Custodian shall be deemed to be acting as the agent of the Secured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Custodian makes no representations as to the existence, perfection or priority of any Lien on the Required Loan Documents or the instruments therein;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Collateral Custodian’s duties shall be limited to those expressly contemplated herein.</w:t>
      </w:r>
    </w:p>
    <w:p>
      <w:pPr>
        <w:spacing w:after="0" w:line="77" w:lineRule="exact"/>
        <w:rPr>
          <w:rFonts w:ascii="Arial" w:cs="Arial" w:eastAsia="Arial" w:hAnsi="Arial"/>
          <w:sz w:val="18"/>
          <w:szCs w:val="18"/>
          <w:color w:val="auto"/>
        </w:rPr>
      </w:pPr>
    </w:p>
    <w:p>
      <w:pPr>
        <w:ind w:left="440" w:right="200" w:firstLine="421"/>
        <w:spacing w:after="0" w:line="290" w:lineRule="auto"/>
        <w:tabs>
          <w:tab w:leader="none" w:pos="117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 xml:space="preserve">All Required Loan Documents shall be kept in fire resistant vaults, rooms or cabinets at the locations specified on the address of the Collateral Custodian in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or at such other office as shall be specified to the Administrative Agent and the Servicer by the Collateral Custodian in a written notice delivered at least 30 days prior to such change. All Required Loan Documents shall be placed together with an appropriate identifying label and maintained in such a manner so as to permit retrieval and access. The Collateral Custodian shall segregate the Required Loan Documents on its inventory system and will not commingle the physical Required Loan Documents with any other files of the Collateral Custodian other than those, if any, relating to Solar Capital and its Affiliates and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Collateral Custodian shall segregate any commingled files upon written request of the Administrative Agent and the Borrower.</w:t>
      </w:r>
    </w:p>
    <w:p>
      <w:pPr>
        <w:spacing w:after="0" w:line="56" w:lineRule="exact"/>
        <w:rPr>
          <w:rFonts w:ascii="Arial" w:cs="Arial" w:eastAsia="Arial" w:hAnsi="Arial"/>
          <w:sz w:val="16"/>
          <w:szCs w:val="16"/>
          <w:color w:val="auto"/>
        </w:rPr>
      </w:pPr>
    </w:p>
    <w:p>
      <w:pPr>
        <w:ind w:left="440" w:right="200" w:firstLine="421"/>
        <w:spacing w:after="0" w:line="258" w:lineRule="auto"/>
        <w:tabs>
          <w:tab w:leader="none" w:pos="116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On the 12th calendar day of every month (or if such day is not a Business Day, the next succeeding Business Day), the Collateral Custodian shall provide a written report to the Administrative Agent and the Servicer (in a form mutually agreeable to the Administrative Agent and the Collateral Custodian) identifying each Loan Asset for which it holds Required Loan Documents and the applicable Review Criteria that any Loan Asset fails to satisfy.</w:t>
      </w:r>
    </w:p>
    <w:p>
      <w:pPr>
        <w:spacing w:after="0" w:line="77" w:lineRule="exact"/>
        <w:rPr>
          <w:rFonts w:ascii="Arial" w:cs="Arial" w:eastAsia="Arial" w:hAnsi="Arial"/>
          <w:sz w:val="18"/>
          <w:szCs w:val="18"/>
          <w:color w:val="auto"/>
        </w:rPr>
      </w:pPr>
    </w:p>
    <w:p>
      <w:pPr>
        <w:ind w:left="440" w:right="160" w:firstLine="421"/>
        <w:spacing w:after="0" w:line="295" w:lineRule="auto"/>
        <w:tabs>
          <w:tab w:leader="none" w:pos="1115"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Notwithstanding any provision to the contrary elsewhere in the Transaction Documents, the Collateral Custodian shall not have any fiduciary relationship with any party hereto or any Secured Party in its capacity as such, and no implied covenants, functions, obligations or responsibilities shall be read into this Agreement, the other Transaction Documents or otherwise exist against the Collateral Custodian. Without limiting the generality of the foregoing, it is hereby expressly agreed and stipulated by the other parties hereto that the Collateral Custodian shall not be required to exercise any discretion hereunder and shall have no investment or management responsibility.</w:t>
      </w:r>
    </w:p>
    <w:p>
      <w:pPr>
        <w:spacing w:after="0" w:line="51" w:lineRule="exact"/>
        <w:rPr>
          <w:rFonts w:ascii="Arial" w:cs="Arial" w:eastAsia="Arial" w:hAnsi="Arial"/>
          <w:sz w:val="16"/>
          <w:szCs w:val="16"/>
          <w:color w:val="auto"/>
        </w:rPr>
      </w:pPr>
    </w:p>
    <w:p>
      <w:pPr>
        <w:ind w:firstLine="989"/>
        <w:spacing w:after="0" w:line="253" w:lineRule="auto"/>
        <w:tabs>
          <w:tab w:leader="none" w:pos="123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 xml:space="preserve">(i) The Collateral Custodian agrees to cooperate with the Administrative Agent and the Collateral Agent and deliver any Required Loan Documents to the Collateral Agent or Administrative Agent (pursuant to a written request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as applicable, as requested in order to take any action that the Administrative Agent deems necessary or desirable in order to perfect, protect or more fully evidence the security interests granted by the Borrower hereunder, or to enable any of them to exercise or enforce any of their respective rights hereunder, including any rights arising with respect to </w:t>
      </w:r>
      <w:r>
        <w:rPr>
          <w:rFonts w:ascii="Arial" w:cs="Arial" w:eastAsia="Arial" w:hAnsi="Arial"/>
          <w:sz w:val="18"/>
          <w:szCs w:val="18"/>
          <w:u w:val="single" w:color="auto"/>
          <w:color w:val="auto"/>
        </w:rPr>
        <w:t>Article VIII</w:t>
      </w:r>
      <w:r>
        <w:rPr>
          <w:rFonts w:ascii="Arial" w:cs="Arial" w:eastAsia="Arial" w:hAnsi="Arial"/>
          <w:sz w:val="18"/>
          <w:szCs w:val="18"/>
          <w:color w:val="auto"/>
        </w:rPr>
        <w:t>. In the event the Collateral Custodian receives instructions from the Collateral Agent, the Servicer or the Borrower which conflict with any instructions received by the Administrative Agent, the Collateral Custodian shall rely on and follow the instructions given by the Administrative Agent.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960"/>
          </w:cols>
          <w:pgMar w:left="460" w:top="273" w:right="479" w:bottom="1440" w:gutter="0" w:footer="0" w:header="0"/>
        </w:sectPr>
      </w:pPr>
    </w:p>
    <w:bookmarkStart w:id="262" w:name="page263"/>
    <w:bookmarkEnd w:id="262"/>
    <w:p>
      <w:pPr>
        <w:ind w:left="440" w:firstLine="421"/>
        <w:spacing w:after="0" w:line="287" w:lineRule="auto"/>
        <w:tabs>
          <w:tab w:leader="none" w:pos="1125" w:val="left"/>
        </w:tabs>
        <w:numPr>
          <w:ilvl w:val="0"/>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The Administrative Agent may direct the Collateral Custodian to take any such incidental action hereunder. With respect to other actions which are incidental to the actions specifically delegated to the Collateral Custodian hereunder, the Collateral Custodian shall not be required to take any such incidental action hereunder, but shall be required to act or to refrain from acting (and shall be fully protected in acting or refraining from acting) upon the direction of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Collateral Custodian shall not be required to take any action hereunder at the request of the Administrative Agent, any Secured Party or otherwise if the taking of such action, in the reasonable determination of the Collateral Custodian, (x) shall be in violation of any Applicable Law or contrary to any provisions of this Agreement or (y) shall expose the Collateral Custodian to liability hereunder or otherwise (unless it has received indemnity which it reasonably deems to be satisfactory with respect thereto). In the event the Collateral Custodian requests the consent of the Administrative Agent and the Collateral Custodian does not receive a consent (either positive or negative) from the Administrative Agent within 10 Business Days of its receipt of such request, then the Administrative Agent shall be deemed to have declined to consent to the relevant action.</w:t>
      </w:r>
    </w:p>
    <w:p>
      <w:pPr>
        <w:spacing w:after="0" w:line="57" w:lineRule="exact"/>
        <w:rPr>
          <w:rFonts w:ascii="Arial" w:cs="Arial" w:eastAsia="Arial" w:hAnsi="Arial"/>
          <w:sz w:val="16"/>
          <w:szCs w:val="16"/>
          <w:color w:val="auto"/>
        </w:rPr>
      </w:pPr>
    </w:p>
    <w:p>
      <w:pPr>
        <w:ind w:left="440" w:right="60" w:firstLine="421"/>
        <w:spacing w:after="0" w:line="255" w:lineRule="auto"/>
        <w:tabs>
          <w:tab w:leader="none" w:pos="117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Collateral Custodian shall not be liable for any action taken, suffered or omitted by it in accordance with the request or direction of any Secured Party, to the extent that this Agreement provides such Secured Party the right to so direct the Collateral Custodian, or the Administrative Agent. The Collateral Custodian shall not be deemed to have notice or knowledge of any matter hereunder, including an Event of Default, unless a Responsible Officer of the Collateral Custodian has knowledge of such matter or written notice thereof is received by the Collateral Custodian.</w:t>
      </w:r>
    </w:p>
    <w:p>
      <w:pPr>
        <w:spacing w:after="0" w:line="190" w:lineRule="exact"/>
        <w:rPr>
          <w:sz w:val="20"/>
          <w:szCs w:val="20"/>
          <w:color w:val="auto"/>
        </w:rPr>
      </w:pPr>
    </w:p>
    <w:p>
      <w:pPr>
        <w:ind w:right="160" w:firstLine="987"/>
        <w:spacing w:after="0" w:line="255" w:lineRule="auto"/>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Merger or Consolidation</w:t>
      </w:r>
      <w:r>
        <w:rPr>
          <w:rFonts w:ascii="Arial" w:cs="Arial" w:eastAsia="Arial" w:hAnsi="Arial"/>
          <w:sz w:val="18"/>
          <w:szCs w:val="18"/>
          <w:color w:val="auto"/>
        </w:rPr>
        <w:t>. Any Person (i) into which the Collateral Custodian may be merged or consolidated, (ii) that may result from any merger or consolidation to which the Collateral Custodian shall be a party, or (iii) that may succeed to the properties and assets of the Collateral Custodian substantially as a whole, which Person in any of the foregoing cases executes an agreement of assumption to perform every obligation of the Collateral Custodian hereunder, shall be the successor to the Collateral Custodian under this Agreement without further act of any of the parties to this Agreement.</w:t>
      </w:r>
    </w:p>
    <w:p>
      <w:pPr>
        <w:spacing w:after="0" w:line="190" w:lineRule="exact"/>
        <w:rPr>
          <w:sz w:val="20"/>
          <w:szCs w:val="20"/>
          <w:color w:val="auto"/>
        </w:rPr>
      </w:pPr>
    </w:p>
    <w:p>
      <w:pPr>
        <w:ind w:right="140" w:firstLine="987"/>
        <w:spacing w:after="0" w:line="295" w:lineRule="auto"/>
        <w:rPr>
          <w:sz w:val="20"/>
          <w:szCs w:val="20"/>
          <w:color w:val="auto"/>
        </w:rPr>
      </w:pPr>
      <w:r>
        <w:rPr>
          <w:rFonts w:ascii="Arial" w:cs="Arial" w:eastAsia="Arial" w:hAnsi="Arial"/>
          <w:sz w:val="16"/>
          <w:szCs w:val="16"/>
          <w:color w:val="auto"/>
        </w:rPr>
        <w:t xml:space="preserve">Section 13.04 </w:t>
      </w:r>
      <w:r>
        <w:rPr>
          <w:rFonts w:ascii="Arial" w:cs="Arial" w:eastAsia="Arial" w:hAnsi="Arial"/>
          <w:sz w:val="16"/>
          <w:szCs w:val="16"/>
          <w:u w:val="single" w:color="auto"/>
          <w:color w:val="auto"/>
        </w:rPr>
        <w:t>Collateral Custodian Compensation</w:t>
      </w:r>
      <w:r>
        <w:rPr>
          <w:rFonts w:ascii="Arial" w:cs="Arial" w:eastAsia="Arial" w:hAnsi="Arial"/>
          <w:sz w:val="16"/>
          <w:szCs w:val="16"/>
          <w:color w:val="auto"/>
        </w:rPr>
        <w:t xml:space="preserve">. As compensation for its Collateral Custodian activities hereunder, the Collateral Custodian shall be entitled to the Collateral Custodian Fees from the Borrower as set forth in the Backup Servicer and Collateral Custodian Fee Letter, payable pursuant to the extent of funds available therefor pursuant to the provisions of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The Collateral Custodian’s entitlement to receive the Collateral Custodian Fees shall cease on the earlier to occur of: (i) its removal as Collateral Custodian pursuant to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(ii) its resignation as Collateral Custodian pursuant to </w:t>
      </w:r>
      <w:r>
        <w:rPr>
          <w:rFonts w:ascii="Arial" w:cs="Arial" w:eastAsia="Arial" w:hAnsi="Arial"/>
          <w:sz w:val="16"/>
          <w:szCs w:val="16"/>
          <w:u w:val="single" w:color="auto"/>
          <w:color w:val="auto"/>
        </w:rPr>
        <w:t>Section 13.07</w:t>
      </w:r>
      <w:r>
        <w:rPr>
          <w:rFonts w:ascii="Arial" w:cs="Arial" w:eastAsia="Arial" w:hAnsi="Arial"/>
          <w:sz w:val="16"/>
          <w:szCs w:val="16"/>
          <w:color w:val="auto"/>
        </w:rPr>
        <w:t xml:space="preserve"> of this Agreement or (iii) the termination of this Agreement.</w:t>
      </w:r>
    </w:p>
    <w:p>
      <w:pPr>
        <w:spacing w:after="0" w:line="159" w:lineRule="exact"/>
        <w:rPr>
          <w:sz w:val="20"/>
          <w:szCs w:val="20"/>
          <w:color w:val="auto"/>
        </w:rPr>
      </w:pPr>
    </w:p>
    <w:p>
      <w:pPr>
        <w:ind w:right="100" w:firstLine="987"/>
        <w:spacing w:after="0" w:line="258"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Collateral Custodian Removal</w:t>
      </w:r>
      <w:r>
        <w:rPr>
          <w:rFonts w:ascii="Arial" w:cs="Arial" w:eastAsia="Arial" w:hAnsi="Arial"/>
          <w:sz w:val="18"/>
          <w:szCs w:val="18"/>
          <w:color w:val="auto"/>
        </w:rPr>
        <w:t>. The Collateral Custodian may be removed, with or without cause, by the Administrative Agent by notice given in writing to the Collateral Custodian (the “</w:t>
      </w:r>
      <w:r>
        <w:rPr>
          <w:rFonts w:ascii="Arial" w:cs="Arial" w:eastAsia="Arial" w:hAnsi="Arial"/>
          <w:sz w:val="18"/>
          <w:szCs w:val="18"/>
          <w:u w:val="single" w:color="auto"/>
          <w:color w:val="auto"/>
        </w:rPr>
        <w:t>Collateral Custodian Termination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its receipt of a Collateral Custodian Termination Notice, the Collateral Custodian shall continue to act in such capacity until a successor Collateral Custodian has been appointed and has agreed to act as Collateral Custodian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0940"/>
          </w:cols>
          <w:pgMar w:left="460" w:top="273" w:right="499" w:bottom="1440" w:gutter="0" w:footer="0" w:header="0"/>
        </w:sectPr>
      </w:pPr>
    </w:p>
    <w:bookmarkStart w:id="263" w:name="page264"/>
    <w:bookmarkEnd w:id="263"/>
    <w:p>
      <w:pPr>
        <w:jc w:val="both"/>
        <w:ind w:right="180" w:firstLine="987"/>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13.06 </w:t>
      </w:r>
      <w:r>
        <w:rPr>
          <w:rFonts w:ascii="Arial" w:cs="Arial" w:eastAsia="Arial" w:hAnsi="Arial"/>
          <w:sz w:val="16"/>
          <w:szCs w:val="16"/>
          <w:u w:val="single" w:color="auto"/>
          <w:color w:val="auto"/>
        </w:rPr>
        <w:t>Limitation on Liability</w:t>
      </w:r>
      <w:r>
        <w:rPr>
          <w:rFonts w:ascii="Arial" w:cs="Arial" w:eastAsia="Arial" w:hAnsi="Arial"/>
          <w:sz w:val="16"/>
          <w:szCs w:val="16"/>
          <w:color w:val="auto"/>
        </w:rPr>
        <w:t>. (a) The Collateral Custodian may conclusively rely on and shall be fully protected in acting upon any certificate, instrument, opinion, notice, letter, telegram or other document delivered to it and that in good faith it reasonably believes to be genuine and that has been signed by the proper party or parties. The Collateral Custodian may rely conclusively on and shall be fully protected in acting upon</w:t>
      </w:r>
    </w:p>
    <w:p>
      <w:pPr>
        <w:spacing w:after="0" w:line="2" w:lineRule="exact"/>
        <w:rPr>
          <w:sz w:val="20"/>
          <w:szCs w:val="20"/>
          <w:color w:val="auto"/>
        </w:rPr>
      </w:pPr>
    </w:p>
    <w:p>
      <w:pPr>
        <w:ind w:left="240" w:hanging="238"/>
        <w:spacing w:after="0"/>
        <w:tabs>
          <w:tab w:leader="none" w:pos="2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written instructions of any designated officer of the Administrative Agent or (b) the verbal instructions of the Administrative Agent.</w:t>
      </w:r>
    </w:p>
    <w:p>
      <w:pPr>
        <w:spacing w:after="0" w:line="100" w:lineRule="exact"/>
        <w:rPr>
          <w:rFonts w:ascii="Arial" w:cs="Arial" w:eastAsia="Arial" w:hAnsi="Arial"/>
          <w:sz w:val="18"/>
          <w:szCs w:val="18"/>
          <w:color w:val="auto"/>
        </w:rPr>
      </w:pPr>
    </w:p>
    <w:p>
      <w:pPr>
        <w:ind w:right="300" w:firstLine="989"/>
        <w:spacing w:after="0" w:line="262" w:lineRule="auto"/>
        <w:tabs>
          <w:tab w:leader="none" w:pos="12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Collateral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74" w:lineRule="exact"/>
        <w:rPr>
          <w:rFonts w:ascii="Arial" w:cs="Arial" w:eastAsia="Arial" w:hAnsi="Arial"/>
          <w:sz w:val="18"/>
          <w:szCs w:val="18"/>
          <w:color w:val="auto"/>
        </w:rPr>
      </w:pPr>
    </w:p>
    <w:p>
      <w:pPr>
        <w:ind w:right="20" w:firstLine="989"/>
        <w:spacing w:after="0" w:line="262" w:lineRule="auto"/>
        <w:tabs>
          <w:tab w:leader="none" w:pos="123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Collateral Custodian shall not be liable for any error of judgment, or for any act done or step taken or omitted by it, in good faith, or for any mistakes of fact or law, or for anything that it may do or refrain from doing in connection herewith except in the case of its willful misconduct or grossly negligent performance or omission of its duties.</w:t>
      </w:r>
    </w:p>
    <w:p>
      <w:pPr>
        <w:spacing w:after="0" w:line="74" w:lineRule="exact"/>
        <w:rPr>
          <w:rFonts w:ascii="Arial" w:cs="Arial" w:eastAsia="Arial" w:hAnsi="Arial"/>
          <w:sz w:val="18"/>
          <w:szCs w:val="18"/>
          <w:color w:val="auto"/>
        </w:rPr>
      </w:pPr>
    </w:p>
    <w:p>
      <w:pPr>
        <w:ind w:firstLine="989"/>
        <w:spacing w:after="0" w:line="274" w:lineRule="auto"/>
        <w:tabs>
          <w:tab w:leader="none" w:pos="124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The Collateral Custodian makes no warranty or representation and shall have no responsibility (except as expressly set forth in this Agreement) as to the content, enforceability, completeness, validity, sufficiency, value, genuineness, ownership or transferability of the Collateral Portfolio, and will not be required to and will not make any representations as to the validity or value (except as expressly set forth in this Agreement) of any of the Collateral Portfolio. The Collateral Custodian shall not be obligated to take any legal action hereunder that might in its judgment involve any expense or liability unless it has been furnished with an indemnity reasonably satisfactory to it.</w:t>
      </w:r>
    </w:p>
    <w:p>
      <w:pPr>
        <w:spacing w:after="0" w:line="66" w:lineRule="exact"/>
        <w:rPr>
          <w:rFonts w:ascii="Arial" w:cs="Arial" w:eastAsia="Arial" w:hAnsi="Arial"/>
          <w:sz w:val="17"/>
          <w:szCs w:val="17"/>
          <w:color w:val="auto"/>
        </w:rPr>
      </w:pPr>
    </w:p>
    <w:p>
      <w:pPr>
        <w:ind w:right="200" w:firstLine="989"/>
        <w:spacing w:after="0" w:line="305" w:lineRule="auto"/>
        <w:tabs>
          <w:tab w:leader="none" w:pos="1230" w:val="left"/>
        </w:tabs>
        <w:numPr>
          <w:ilvl w:val="1"/>
          <w:numId w:val="283"/>
        </w:numPr>
        <w:rPr>
          <w:rFonts w:ascii="Arial" w:cs="Arial" w:eastAsia="Arial" w:hAnsi="Arial"/>
          <w:sz w:val="17"/>
          <w:szCs w:val="17"/>
          <w:color w:val="auto"/>
        </w:rPr>
      </w:pPr>
      <w:r>
        <w:rPr>
          <w:rFonts w:ascii="Arial" w:cs="Arial" w:eastAsia="Arial" w:hAnsi="Arial"/>
          <w:sz w:val="17"/>
          <w:szCs w:val="17"/>
          <w:color w:val="auto"/>
        </w:rPr>
        <w:t>The Collateral Custodian shall have no duties or responsibilities except such duties and responsibilities as are specifically set forth in this Agreement and no covenants or obligations shall be implied in this Agreement against the Collateral Custodian.</w:t>
      </w:r>
    </w:p>
    <w:p>
      <w:pPr>
        <w:spacing w:after="0" w:line="40" w:lineRule="exact"/>
        <w:rPr>
          <w:rFonts w:ascii="Arial" w:cs="Arial" w:eastAsia="Arial" w:hAnsi="Arial"/>
          <w:sz w:val="17"/>
          <w:szCs w:val="17"/>
          <w:color w:val="auto"/>
        </w:rPr>
      </w:pPr>
    </w:p>
    <w:p>
      <w:pPr>
        <w:ind w:left="1220" w:hanging="231"/>
        <w:spacing w:after="0"/>
        <w:tabs>
          <w:tab w:leader="none" w:pos="122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Collateral Custodian shall not be required to expend or risk its own funds in the performance of its duties hereunder.</w:t>
      </w:r>
    </w:p>
    <w:p>
      <w:pPr>
        <w:spacing w:after="0" w:line="115" w:lineRule="exact"/>
        <w:rPr>
          <w:rFonts w:ascii="Arial" w:cs="Arial" w:eastAsia="Arial" w:hAnsi="Arial"/>
          <w:sz w:val="18"/>
          <w:szCs w:val="18"/>
          <w:color w:val="auto"/>
        </w:rPr>
      </w:pPr>
    </w:p>
    <w:p>
      <w:pPr>
        <w:ind w:right="100" w:firstLine="989"/>
        <w:spacing w:after="0" w:line="275" w:lineRule="auto"/>
        <w:tabs>
          <w:tab w:leader="none" w:pos="12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It is expressly agreed and acknowledged that the Collateral Custodian is not guaranteeing performance of or assuming any liability for the obligations of the other parties hereto or any parties to the Collateral Portfolio.</w:t>
      </w:r>
    </w:p>
    <w:p>
      <w:pPr>
        <w:spacing w:after="0" w:line="63" w:lineRule="exact"/>
        <w:rPr>
          <w:rFonts w:ascii="Arial" w:cs="Arial" w:eastAsia="Arial" w:hAnsi="Arial"/>
          <w:sz w:val="18"/>
          <w:szCs w:val="18"/>
          <w:color w:val="auto"/>
        </w:rPr>
      </w:pPr>
    </w:p>
    <w:p>
      <w:pPr>
        <w:ind w:firstLine="989"/>
        <w:spacing w:after="0" w:line="290" w:lineRule="auto"/>
        <w:tabs>
          <w:tab w:leader="none" w:pos="1240"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Subject in all cases to the last sentence of </w:t>
      </w:r>
      <w:r>
        <w:rPr>
          <w:rFonts w:ascii="Arial" w:cs="Arial" w:eastAsia="Arial" w:hAnsi="Arial"/>
          <w:sz w:val="16"/>
          <w:szCs w:val="16"/>
          <w:u w:val="single" w:color="auto"/>
          <w:color w:val="auto"/>
        </w:rPr>
        <w:t>Section 13.02(c)(i)</w:t>
      </w:r>
      <w:r>
        <w:rPr>
          <w:rFonts w:ascii="Arial" w:cs="Arial" w:eastAsia="Arial" w:hAnsi="Arial"/>
          <w:sz w:val="16"/>
          <w:szCs w:val="16"/>
          <w:color w:val="auto"/>
        </w:rPr>
        <w:t>, in case any reasonable question arises as to its duties hereunder, the Collateral Custodian may, prior to the occurrence of an Event of Default or the Final Maturity Date, request instructions from the Servicer and may, after the occurrence of an Event of Default or the Final Maturity Date, request instructions from the Administrative Agent, and shall be entitled at all times to refrain from taking any action unless it has received instructions from the Servicer or the Administrative Agent, as applicable. The Collateral Custodian shall in all events have no liability, risk or cost for any action taken pursuant to and in compliance with the instruction of the Administrative Agent. In no event shall the Collateral Custodian be liable for special, indirect or consequential loss or damage of any kind whatsoever (including but not limited to lost profits), even if the Collateral Custodian has been advised of the likelihood of such loss or damage and regardless of the form of action.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0960"/>
          </w:cols>
          <w:pgMar w:left="460" w:top="273" w:right="479" w:bottom="1440" w:gutter="0" w:footer="0" w:header="0"/>
        </w:sectPr>
      </w:pPr>
    </w:p>
    <w:bookmarkStart w:id="264" w:name="page265"/>
    <w:bookmarkEnd w:id="264"/>
    <w:p>
      <w:pPr>
        <w:ind w:firstLine="987"/>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 xml:space="preserve">Section 13.07 </w:t>
      </w:r>
      <w:r>
        <w:rPr>
          <w:rFonts w:ascii="Arial" w:cs="Arial" w:eastAsia="Arial" w:hAnsi="Arial"/>
          <w:sz w:val="17"/>
          <w:szCs w:val="17"/>
          <w:u w:val="single" w:color="auto"/>
          <w:color w:val="auto"/>
        </w:rPr>
        <w:t>Collateral Custodian Resignation</w:t>
      </w:r>
      <w:r>
        <w:rPr>
          <w:rFonts w:ascii="Arial" w:cs="Arial" w:eastAsia="Arial" w:hAnsi="Arial"/>
          <w:sz w:val="17"/>
          <w:szCs w:val="17"/>
          <w:color w:val="auto"/>
        </w:rPr>
        <w:t xml:space="preserve">. Collateral Custodian may resign and be discharged from its duties or obligations hereunder, not earlier than 90 days after delivery to the Administrative Agent of written notice of such resignation specifying a date when such resignation shall take effect. Upon the effective date of such resignation, or if the Administrative Agent gives Collateral Custodian written notice of an earlier termination hereof, Collateral Custodian shall (i) be reimbursed for any costs and expenses Collateral Custodian shall incur in connection with the termination of its duties under this Agreement and (ii) deliver all of the Required Loan Documents in the possession of Collateral Custodian to the Administrative Agent or to such Person as the Administrative Agent may designate to Collateral Custodian in writing upon the receipt of a request in the form of </w:t>
      </w:r>
      <w:r>
        <w:rPr>
          <w:rFonts w:ascii="Arial" w:cs="Arial" w:eastAsia="Arial" w:hAnsi="Arial"/>
          <w:sz w:val="17"/>
          <w:szCs w:val="17"/>
          <w:u w:val="single" w:color="auto"/>
          <w:color w:val="auto"/>
        </w:rPr>
        <w:t>Exhibit M</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consent to any successor Collateral Custodian appointed by the Administrative Agent at the direction of the Majority Lenders (such consent not to be unreasonably withheld). Notwithstanding anything herein to the contrary, the Collateral Custodian may not resign prior to a successor Collateral Custodian being appointed.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Release of Documents</w:t>
      </w:r>
      <w:r>
        <w:rPr>
          <w:rFonts w:ascii="Arial" w:cs="Arial" w:eastAsia="Arial" w:hAnsi="Arial"/>
          <w:sz w:val="18"/>
          <w:szCs w:val="18"/>
          <w:color w:val="auto"/>
        </w:rPr>
        <w:t>.</w:t>
      </w:r>
    </w:p>
    <w:p>
      <w:pPr>
        <w:spacing w:after="0" w:line="115" w:lineRule="exact"/>
        <w:rPr>
          <w:sz w:val="20"/>
          <w:szCs w:val="20"/>
          <w:color w:val="auto"/>
        </w:rPr>
      </w:pPr>
    </w:p>
    <w:p>
      <w:pPr>
        <w:ind w:right="40" w:firstLine="989"/>
        <w:spacing w:after="0" w:line="287" w:lineRule="auto"/>
        <w:tabs>
          <w:tab w:leader="none" w:pos="1230"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Release for Servicing</w:t>
      </w:r>
      <w:r>
        <w:rPr>
          <w:rFonts w:ascii="Arial" w:cs="Arial" w:eastAsia="Arial" w:hAnsi="Arial"/>
          <w:sz w:val="16"/>
          <w:szCs w:val="16"/>
          <w:color w:val="auto"/>
        </w:rPr>
        <w:t xml:space="preserve">. From time to time and as appropriate for the enforcement or servicing of any of the Collateral Portfolio, the Collateral Custodian is hereby authorized (unless and until such authorization is revoked by the Administrative Agent), upon written receipt from the Servicer of a request for release of documents and receipt in the form annexed hereto as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to release to the Servicer within two Business Days of receipt of such request, the related Required Loan Documents or the documents set forth in such request and receipt to the Servicer. All documents so released to the Servicer shall be held by the Servicer in trust for the benefit of the Collateral Agent, on behalf of the Secured Parties in accordance with the terms of this Agreement. The Servicer shall return to the Collateral Custodian the Required Loan Documents or other such documents (i) promptly upon the request of the Administrative Agent, or (ii) when the Servicer’s need therefor in connection with such foreclosure or servicing no longer exists, unless the Loan Asset shall be liquidated, in which case, the Servicer shall deliver an additional request for release of documents to the Collateral Custodian and receipt certifying such liquidation from the Servicer to the Collateral Agent, all in the form annexed hereto as </w:t>
      </w:r>
      <w:r>
        <w:rPr>
          <w:rFonts w:ascii="Arial" w:cs="Arial" w:eastAsia="Arial" w:hAnsi="Arial"/>
          <w:sz w:val="16"/>
          <w:szCs w:val="16"/>
          <w:u w:val="single" w:color="auto"/>
          <w:color w:val="auto"/>
        </w:rPr>
        <w:t>Exhibit M</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right="20" w:firstLine="989"/>
        <w:spacing w:after="0" w:line="272" w:lineRule="auto"/>
        <w:tabs>
          <w:tab w:leader="none" w:pos="1240"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Limitation on Release</w:t>
      </w:r>
      <w:r>
        <w:rPr>
          <w:rFonts w:ascii="Arial" w:cs="Arial" w:eastAsia="Arial" w:hAnsi="Arial"/>
          <w:sz w:val="17"/>
          <w:szCs w:val="17"/>
          <w:color w:val="auto"/>
        </w:rPr>
        <w:t>. The foregoing provision with respect to the release to the Servicer of the Required Loan Documents and documents by the Collateral Custodian upon request by the Servicer shall be operative only to the extent that the Administrative Agent has consented to such release. Promptly after delivery to the Collateral Custodian of any request for release of documents, the Servicer shall provide notice of the same to the Administrative Agent. Any additional Required Loan Documents or documents requested to be released by the Servicer may be released only upon written authorization of the Administrative Agent. The limitations of this paragraph shall not apply to the release of Required Loan Documents to the Servicer pursuant to the immediately succeeding subsection.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0960"/>
          </w:cols>
          <w:pgMar w:left="460" w:top="273" w:right="479" w:bottom="1440" w:gutter="0" w:footer="0" w:header="0"/>
        </w:sectPr>
      </w:pPr>
    </w:p>
    <w:bookmarkStart w:id="265" w:name="page266"/>
    <w:bookmarkEnd w:id="265"/>
    <w:p>
      <w:pPr>
        <w:ind w:right="40" w:firstLine="989"/>
        <w:spacing w:after="0" w:line="258" w:lineRule="auto"/>
        <w:tabs>
          <w:tab w:leader="none" w:pos="123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7175500" cy="38100"/>
                    </a:xfrm>
                    <a:prstGeom prst="rect">
                      <a:avLst/>
                    </a:prstGeom>
                    <a:noFill/>
                  </pic:spPr>
                </pic:pic>
              </a:graphicData>
            </a:graphic>
          </wp:anchor>
        </w:drawing>
        <w:t>Release for Payment</w:t>
      </w:r>
      <w:r>
        <w:rPr>
          <w:rFonts w:ascii="Arial" w:cs="Arial" w:eastAsia="Arial" w:hAnsi="Arial"/>
          <w:sz w:val="18"/>
          <w:szCs w:val="18"/>
          <w:color w:val="auto"/>
        </w:rPr>
        <w:t xml:space="preserve">. Upon receipt by the Collateral Custodian of the Servicer’s request for release of documents and receipt in the form annexed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(which certification shall include a statement to the effect that all amounts received in connection with such payment or repurchase have been credited to the Collection Account as provided in this Agreement), the Collateral Custodian shall promptly release the related Required Loan Documents to the Servicer.</w:t>
      </w:r>
    </w:p>
    <w:p>
      <w:pPr>
        <w:spacing w:after="0" w:line="185" w:lineRule="exact"/>
        <w:rPr>
          <w:sz w:val="20"/>
          <w:szCs w:val="20"/>
          <w:color w:val="auto"/>
        </w:rPr>
      </w:pPr>
    </w:p>
    <w:p>
      <w:pPr>
        <w:ind w:right="20" w:firstLine="987"/>
        <w:spacing w:after="0" w:line="253"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Return of Required Loan Documents</w:t>
      </w:r>
      <w:r>
        <w:rPr>
          <w:rFonts w:ascii="Arial" w:cs="Arial" w:eastAsia="Arial" w:hAnsi="Arial"/>
          <w:sz w:val="18"/>
          <w:szCs w:val="18"/>
          <w:color w:val="auto"/>
        </w:rPr>
        <w:t xml:space="preserve">. The Borrower may, with the prior written consent of the Administrative Agent (such consent not to be unreasonably withheld), require that the Collateral Custodian return each Required Loan Document (a) delivered to the Collateral Custodian in error or (b) released from the Lien of the Collateral Agent hereunder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in each case by submitting to the Collateral Custodian and the Administrative Agent a written request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hereto (signed by both the Borrower and the Administrative Agent) specifying the Collateral Portfolio to be so returned and reciting that the conditions to such release have been met (and specifying the Section or Sections of this Agreement being relied upon for such release). The Collateral Custodian shall upon its receipt of each such request for return executed by the Borrower and the Administrative Agent promptly, but in any event within five Business Days, return the Required Loan Documents so requested to the Borrower.</w:t>
      </w:r>
    </w:p>
    <w:p>
      <w:pPr>
        <w:spacing w:after="0" w:line="189" w:lineRule="exact"/>
        <w:rPr>
          <w:sz w:val="20"/>
          <w:szCs w:val="20"/>
          <w:color w:val="auto"/>
        </w:rPr>
      </w:pPr>
    </w:p>
    <w:p>
      <w:pPr>
        <w:ind w:firstLine="987"/>
        <w:spacing w:after="0" w:line="267" w:lineRule="auto"/>
        <w:rPr>
          <w:sz w:val="20"/>
          <w:szCs w:val="20"/>
          <w:color w:val="auto"/>
        </w:rPr>
      </w:pPr>
      <w:r>
        <w:rPr>
          <w:rFonts w:ascii="Arial" w:cs="Arial" w:eastAsia="Arial" w:hAnsi="Arial"/>
          <w:sz w:val="17"/>
          <w:szCs w:val="17"/>
          <w:color w:val="auto"/>
        </w:rPr>
        <w:t xml:space="preserve">Section 13.10 </w:t>
      </w:r>
      <w:r>
        <w:rPr>
          <w:rFonts w:ascii="Arial" w:cs="Arial" w:eastAsia="Arial" w:hAnsi="Arial"/>
          <w:sz w:val="17"/>
          <w:szCs w:val="17"/>
          <w:u w:val="single" w:color="auto"/>
          <w:color w:val="auto"/>
        </w:rPr>
        <w:t>Access to Certain Documentation and Information Regarding the Collateral Portfolio; Audits of Servicer</w:t>
      </w:r>
      <w:r>
        <w:rPr>
          <w:rFonts w:ascii="Arial" w:cs="Arial" w:eastAsia="Arial" w:hAnsi="Arial"/>
          <w:sz w:val="17"/>
          <w:szCs w:val="17"/>
          <w:color w:val="auto"/>
        </w:rPr>
        <w:t xml:space="preserve">. The Collateral Custodian shall provide to the Administrative Agent and each Lender Agent access to the Required Loan Documents and all other documentation regarding the Collateral Portfolio including in such cases where the Administrative Agent and each Lender Agent is required in connection with the enforcement of the rights or interests of the Secured Parties, or by applicable statutes or regulations, to review such documentation, such access being afforded without charge but only (i) upon two Business Days prior written request, (ii) during normal business hours and (iii) subject to the Servicer’s and the Collateral Custodian’s normal security and confidentiality procedures. Prior to the Closing Date and periodically thereafter at the discretion of the Administrative Agent and each Lender Agent, the Administrative Agent and each Lender Agent may review the Servicer’s collection and administration of the Collateral Portfolio in order to assess compliance by the Servicer with the Servicing Standard, as well as with this Agreement and may conduct an audit of the Collateral Portfolio, and Required Loan Documents in conjunction with such a review. Such review shall be (subject to </w:t>
      </w:r>
      <w:r>
        <w:rPr>
          <w:rFonts w:ascii="Arial" w:cs="Arial" w:eastAsia="Arial" w:hAnsi="Arial"/>
          <w:sz w:val="17"/>
          <w:szCs w:val="17"/>
          <w:u w:val="single" w:color="auto"/>
          <w:color w:val="auto"/>
        </w:rPr>
        <w:t>Section 5.03(d)(ii)</w:t>
      </w:r>
      <w:r>
        <w:rPr>
          <w:rFonts w:ascii="Arial" w:cs="Arial" w:eastAsia="Arial" w:hAnsi="Arial"/>
          <w:sz w:val="17"/>
          <w:szCs w:val="17"/>
          <w:color w:val="auto"/>
        </w:rPr>
        <w:t xml:space="preserve">) reasonable in scope and shall be completed in a reasonable period of time. Without limiting the foregoing provisions of this </w:t>
      </w:r>
      <w:r>
        <w:rPr>
          <w:rFonts w:ascii="Arial" w:cs="Arial" w:eastAsia="Arial" w:hAnsi="Arial"/>
          <w:sz w:val="17"/>
          <w:szCs w:val="17"/>
          <w:u w:val="single" w:color="auto"/>
          <w:color w:val="auto"/>
        </w:rPr>
        <w:t>Section 13.10</w:t>
      </w:r>
      <w:r>
        <w:rPr>
          <w:rFonts w:ascii="Arial" w:cs="Arial" w:eastAsia="Arial" w:hAnsi="Arial"/>
          <w:sz w:val="17"/>
          <w:szCs w:val="17"/>
          <w:color w:val="auto"/>
        </w:rPr>
        <w:t>, from time to time (and, in any case, a minimum of three times during each fiscal year of the Servicer) upon reasonable notice to the Administrative Agent, the Collateral Custodian shall permit independent public accountants or other auditors appointed by the Servicer to conduct, at the expense of the Servicer (on behalf of the Borrower), a review of the Required Loan Documents and all other documentation regarding the Collateral Portfolio.</w:t>
      </w:r>
    </w:p>
    <w:p>
      <w:pPr>
        <w:spacing w:after="0" w:line="180" w:lineRule="exact"/>
        <w:rPr>
          <w:sz w:val="20"/>
          <w:szCs w:val="20"/>
          <w:color w:val="auto"/>
        </w:rPr>
      </w:pPr>
    </w:p>
    <w:p>
      <w:pPr>
        <w:jc w:val="both"/>
        <w:ind w:right="160" w:firstLine="987"/>
        <w:spacing w:after="0" w:line="258"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Bailment</w:t>
      </w:r>
      <w:r>
        <w:rPr>
          <w:rFonts w:ascii="Arial" w:cs="Arial" w:eastAsia="Arial" w:hAnsi="Arial"/>
          <w:sz w:val="18"/>
          <w:szCs w:val="18"/>
          <w:color w:val="auto"/>
        </w:rPr>
        <w:t>. The Collateral Custodian agrees that, with respect to any Required Loan Documents at any time or times in its possession or held in its name, the Collateral Custodian shall be the agent and bailee of the Collateral Agent, for the benefit of the Secured Parties, for purposes of perfecting (to the extent not otherwise perfected) the Collateral Agent’s security interest in the Collateral Portfolio and for the purpose of ensuring that such security interest is entitled to first priority status under the UCC.</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PAGES TO FOLLOW]</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0900"/>
          </w:cols>
          <w:pgMar w:left="460" w:top="273" w:right="539" w:bottom="1440" w:gutter="0" w:footer="0" w:header="0"/>
        </w:sectPr>
      </w:pPr>
    </w:p>
    <w:bookmarkStart w:id="266" w:name="page267"/>
    <w:bookmarkEnd w:id="266"/>
    <w:p>
      <w:pPr>
        <w:ind w:firstLine="987"/>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 WITNESS WHEREOF, the parties have caused this Agreement to be executed by their respective officers thereunto duly authorized, as of the date first above written.</w:t>
      </w:r>
    </w:p>
    <w:p>
      <w:pPr>
        <w:spacing w:after="0" w:line="19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THE BORROWER:</w:t>
      </w:r>
    </w:p>
    <w:p>
      <w:pPr>
        <w:spacing w:after="0" w:line="22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SUNS SPV LLC</w:t>
      </w:r>
    </w:p>
    <w:p>
      <w:pPr>
        <w:spacing w:after="0" w:line="2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13970</wp:posOffset>
            </wp:positionV>
            <wp:extent cx="255143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 ON THE FOLLOWING PAGE]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U-1</w:t>
      </w:r>
    </w:p>
    <w:p>
      <w:pPr>
        <w:sectPr>
          <w:pgSz w:w="11900" w:h="16838" w:orient="portrait"/>
          <w:cols w:equalWidth="0" w:num="1">
            <w:col w:w="10940"/>
          </w:cols>
          <w:pgMar w:left="460" w:top="273" w:right="499" w:bottom="1440" w:gutter="0" w:footer="0" w:header="0"/>
        </w:sectPr>
      </w:pPr>
    </w:p>
    <w:bookmarkStart w:id="267" w:name="page268"/>
    <w:bookmarkEnd w:id="26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SERVICER:</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SLR SENIOR INVESTMENT CORP.</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13970</wp:posOffset>
            </wp:positionV>
            <wp:extent cx="24745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U-2</w:t>
      </w:r>
    </w:p>
    <w:p>
      <w:pPr>
        <w:sectPr>
          <w:pgSz w:w="11900" w:h="16838" w:orient="portrait"/>
          <w:cols w:equalWidth="0" w:num="1">
            <w:col w:w="9019"/>
          </w:cols>
          <w:pgMar w:left="1440" w:top="269" w:right="1440" w:bottom="1440" w:gutter="0" w:footer="0" w:header="0"/>
        </w:sectPr>
      </w:pPr>
    </w:p>
    <w:bookmarkStart w:id="268" w:name="page269"/>
    <w:bookmarkEnd w:id="268"/>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TRANSFEROR:</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7"/>
          <w:szCs w:val="17"/>
          <w:b w:val="1"/>
          <w:bCs w:val="1"/>
          <w:color w:val="auto"/>
        </w:rPr>
        <w:t>SLR SENIOR INVESTMENT CORP.</w:t>
      </w:r>
    </w:p>
    <w:p>
      <w:pPr>
        <w:spacing w:after="0" w:line="23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U-3</w:t>
      </w:r>
    </w:p>
    <w:p>
      <w:pPr>
        <w:sectPr>
          <w:pgSz w:w="11900" w:h="16838" w:orient="portrait"/>
          <w:cols w:equalWidth="0" w:num="1">
            <w:col w:w="9019"/>
          </w:cols>
          <w:pgMar w:left="1440" w:top="269" w:right="1440" w:bottom="1440" w:gutter="0" w:footer="0" w:header="0"/>
        </w:sectPr>
      </w:pPr>
    </w:p>
    <w:bookmarkStart w:id="269" w:name="page270"/>
    <w:bookmarkEnd w:id="269"/>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ADMINISTRATIVE AGENT: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CITIBANK, N.A.</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U-4</w:t>
      </w:r>
    </w:p>
    <w:p>
      <w:pPr>
        <w:sectPr>
          <w:pgSz w:w="11900" w:h="16838" w:orient="portrait"/>
          <w:cols w:equalWidth="0" w:num="1">
            <w:col w:w="9019"/>
          </w:cols>
          <w:pgMar w:left="1440" w:top="269" w:right="1440" w:bottom="1440" w:gutter="0" w:footer="0" w:header="0"/>
        </w:sectPr>
      </w:pPr>
    </w:p>
    <w:bookmarkStart w:id="270" w:name="page271"/>
    <w:bookmarkEnd w:id="270"/>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COLLATERAL AGENT: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CITIBANK, N.A.</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U-5</w:t>
      </w:r>
    </w:p>
    <w:p>
      <w:pPr>
        <w:sectPr>
          <w:pgSz w:w="11900" w:h="16838" w:orient="portrait"/>
          <w:cols w:equalWidth="0" w:num="1">
            <w:col w:w="9019"/>
          </w:cols>
          <w:pgMar w:left="1440" w:top="269" w:right="1440" w:bottom="1440" w:gutter="0" w:footer="0" w:header="0"/>
        </w:sectPr>
      </w:pPr>
    </w:p>
    <w:bookmarkStart w:id="271" w:name="page272"/>
    <w:bookmarkEnd w:id="27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175500" cy="38100"/>
                    </a:xfrm>
                    <a:prstGeom prst="rect">
                      <a:avLst/>
                    </a:prstGeom>
                    <a:noFill/>
                  </pic:spPr>
                </pic:pic>
              </a:graphicData>
            </a:graphic>
          </wp:anchor>
        </w:drawing>
        <w:t>THE ACCOUNT BANK, COLLATERAL CUSTODIAN</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AND BACKUP SERVICER:</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WELLS FARGO BANK, N.A.</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U-6</w:t>
      </w:r>
    </w:p>
    <w:p>
      <w:pPr>
        <w:sectPr>
          <w:pgSz w:w="11900" w:h="16838" w:orient="portrait"/>
          <w:cols w:equalWidth="0" w:num="1">
            <w:col w:w="9940"/>
          </w:cols>
          <w:pgMar w:left="1440" w:top="269" w:right="519" w:bottom="1440" w:gutter="0" w:footer="0" w:header="0"/>
        </w:sectPr>
      </w:pPr>
    </w:p>
    <w:bookmarkStart w:id="272" w:name="page273"/>
    <w:bookmarkEnd w:id="272"/>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CONDUIT: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CAFCO, LLC</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Citibank, N.A., as Attorney-in-Fact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CAFCO, LLC</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c/o Citi – Global ABS Financing &amp; Securitization</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conduitoperations@citi.com</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U-7</w:t>
      </w:r>
    </w:p>
    <w:p>
      <w:pPr>
        <w:sectPr>
          <w:pgSz w:w="11900" w:h="16838" w:orient="portrait"/>
          <w:cols w:equalWidth="0" w:num="1">
            <w:col w:w="9180"/>
          </w:cols>
          <w:pgMar w:left="1440" w:top="269" w:right="1279" w:bottom="1440" w:gutter="0" w:footer="0" w:header="0"/>
        </w:sectPr>
      </w:pPr>
    </w:p>
    <w:bookmarkStart w:id="273" w:name="page274"/>
    <w:bookmarkEnd w:id="273"/>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CONDUIT: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CHARTA, LLC</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Citibank, N.A., as Attorney-in-Fact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CHARTA, LLC</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c/o Citi – Global ABS Financing &amp; Securitization</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CitiABSLendingNotices@citi.com</w:t>
      </w:r>
    </w:p>
    <w:p>
      <w:pPr>
        <w:spacing w:after="0" w:line="1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conduitoperations@citi.com</w:t>
      </w:r>
    </w:p>
    <w:p>
      <w:pPr>
        <w:spacing w:after="0" w:line="14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U-8</w:t>
      </w:r>
    </w:p>
    <w:p>
      <w:pPr>
        <w:sectPr>
          <w:pgSz w:w="11900" w:h="16838" w:orient="portrait"/>
          <w:cols w:equalWidth="0" w:num="1">
            <w:col w:w="9180"/>
          </w:cols>
          <w:pgMar w:left="1440" w:top="269" w:right="1279" w:bottom="1440" w:gutter="0" w:footer="0" w:header="0"/>
        </w:sectPr>
      </w:pPr>
    </w:p>
    <w:bookmarkStart w:id="274" w:name="page275"/>
    <w:bookmarkEnd w:id="274"/>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CONDUIT: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CIESCO, LLC</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Citibank, N.A., as Attorney-in-Fact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CIESCO, LLC</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c/o Citi – Global ABS Financing &amp; Securitization</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conduitoperations@citi.com</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U-9</w:t>
      </w:r>
    </w:p>
    <w:p>
      <w:pPr>
        <w:sectPr>
          <w:pgSz w:w="11900" w:h="16838" w:orient="portrait"/>
          <w:cols w:equalWidth="0" w:num="1">
            <w:col w:w="9180"/>
          </w:cols>
          <w:pgMar w:left="1440" w:top="269" w:right="1279" w:bottom="1440" w:gutter="0" w:footer="0" w:header="0"/>
        </w:sectPr>
      </w:pPr>
    </w:p>
    <w:bookmarkStart w:id="275" w:name="page276"/>
    <w:bookmarkEnd w:id="275"/>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7175500" cy="38100"/>
                    </a:xfrm>
                    <a:prstGeom prst="rect">
                      <a:avLst/>
                    </a:prstGeom>
                    <a:noFill/>
                  </pic:spPr>
                </pic:pic>
              </a:graphicData>
            </a:graphic>
          </wp:anchor>
        </w:drawing>
        <w:t>CONDUIT: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CRC FUNDING, LLC</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Citibank, N.A., as Attorney-in-Fact</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CRC FUNDING, LLC</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c/o Citi – Global ABS Financing &amp; Securitization</w:t>
      </w:r>
    </w:p>
    <w:p>
      <w:pPr>
        <w:spacing w:after="0" w:line="4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388 Street, 6</w:t>
      </w:r>
      <w:r>
        <w:rPr>
          <w:rFonts w:ascii="Arial" w:cs="Arial" w:eastAsia="Arial" w:hAnsi="Arial"/>
          <w:sz w:val="15"/>
          <w:szCs w:val="15"/>
          <w:color w:val="auto"/>
        </w:rPr>
        <w:t>th</w:t>
      </w:r>
      <w:r>
        <w:rPr>
          <w:rFonts w:ascii="Arial" w:cs="Arial" w:eastAsia="Arial" w:hAnsi="Arial"/>
          <w:sz w:val="18"/>
          <w:szCs w:val="18"/>
          <w:color w:val="auto"/>
        </w:rPr>
        <w:t xml:space="preserve"> Floor Trading</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York, NY 10013</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No.: 212-723-3716</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CitiABSLendingNotices@citi.com</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with a copy to:</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Citi Global Loans / Conduit Operations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 Penns Way, Ops 2 Floor 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New Castle, DE 19720</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Telephone: 302-323-5492</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Email: conduitoperations@citi.com</w:t>
      </w:r>
    </w:p>
    <w:p>
      <w:pPr>
        <w:spacing w:after="0" w:line="23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LIQUIDITY BANK and LENDER AGENT:</w:t>
      </w:r>
    </w:p>
    <w:p>
      <w:pPr>
        <w:spacing w:after="0" w:line="11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CITIBANK, N.A.</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13970</wp:posOffset>
            </wp:positionV>
            <wp:extent cx="25514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U-10</w:t>
      </w:r>
    </w:p>
    <w:p>
      <w:pPr>
        <w:sectPr>
          <w:pgSz w:w="11900" w:h="16838" w:orient="portrait"/>
          <w:cols w:equalWidth="0" w:num="1">
            <w:col w:w="9180"/>
          </w:cols>
          <w:pgMar w:left="1440" w:top="269" w:right="1279" w:bottom="1440" w:gutter="0" w:footer="0" w:header="0"/>
        </w:sectPr>
      </w:pPr>
    </w:p>
    <w:bookmarkStart w:id="276" w:name="page277"/>
    <w:bookmarkEnd w:id="276"/>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INSTITUTIONAL LENDER:</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CAPITAL ONE BANK, N.A.</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13970</wp:posOffset>
            </wp:positionV>
            <wp:extent cx="2371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2371725" cy="8255"/>
                    </a:xfrm>
                    <a:prstGeom prst="rect">
                      <a:avLst/>
                    </a:prstGeom>
                    <a:noFill/>
                  </pic:spPr>
                </pic:pic>
              </a:graphicData>
            </a:graphic>
          </wp:anchor>
        </w:drawing>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[SIGNATURES CONTINUE ON THE FOLLOWING PAGE]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U-11</w:t>
      </w:r>
    </w:p>
    <w:p>
      <w:pPr>
        <w:sectPr>
          <w:pgSz w:w="11900" w:h="16838" w:orient="portrait"/>
          <w:cols w:equalWidth="0" w:num="1">
            <w:col w:w="9019"/>
          </w:cols>
          <w:pgMar w:left="1440" w:top="269" w:right="1440" w:bottom="1440" w:gutter="0" w:footer="0" w:header="0"/>
        </w:sectPr>
      </w:pPr>
    </w:p>
    <w:bookmarkStart w:id="277" w:name="page278"/>
    <w:bookmarkEnd w:id="277"/>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550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7175500" cy="38100"/>
                    </a:xfrm>
                    <a:prstGeom prst="rect">
                      <a:avLst/>
                    </a:prstGeom>
                    <a:noFill/>
                  </pic:spPr>
                </pic:pic>
              </a:graphicData>
            </a:graphic>
          </wp:anchor>
        </w:drawing>
        <w:t>INSTITUTIONAL LENDER:</w:t>
      </w:r>
    </w:p>
    <w:p>
      <w:pPr>
        <w:spacing w:after="0" w:line="22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ING CAPITAL LLC</w:t>
      </w:r>
    </w:p>
    <w:p>
      <w:pPr>
        <w:spacing w:after="0" w:line="2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13970</wp:posOffset>
            </wp:positionV>
            <wp:extent cx="23806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U-12</w:t>
      </w:r>
    </w:p>
    <w:p>
      <w:pPr>
        <w:sectPr>
          <w:pgSz w:w="11900" w:h="16838" w:orient="portrait"/>
          <w:cols w:equalWidth="0" w:num="1">
            <w:col w:w="9019"/>
          </w:cols>
          <w:pgMar w:left="1440" w:top="269"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23.1</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SLR Investment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No. 333-255662</w:t>
      </w:r>
    </w:p>
    <w:p>
      <w:pPr>
        <w:spacing w:after="0" w:line="223"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With respect to the subject registration statement, we acknowledge our awareness of the use therein of our report dated May 3, 2022 related to our review of interim financial information. 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0960"/>
          </w:cols>
          <w:pgMar w:left="460" w:top="121" w:right="47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t>EXHIBIT 31.1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Michael S. Gross, Co-Chief Executive Officer of SLR Investment Corp., certify that:</w:t>
      </w:r>
    </w:p>
    <w:p>
      <w:pPr>
        <w:spacing w:after="0" w:line="115" w:lineRule="exact"/>
        <w:rPr>
          <w:sz w:val="20"/>
          <w:szCs w:val="20"/>
          <w:color w:val="auto"/>
        </w:rPr>
      </w:pPr>
    </w:p>
    <w:p>
      <w:pPr>
        <w:ind w:left="620" w:hanging="180"/>
        <w:spacing w:after="0"/>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SLR Investment Corp.;</w:t>
      </w:r>
    </w:p>
    <w:p>
      <w:pPr>
        <w:spacing w:after="0" w:line="222" w:lineRule="exact"/>
        <w:rPr>
          <w:rFonts w:ascii="Arial" w:cs="Arial" w:eastAsia="Arial" w:hAnsi="Arial"/>
          <w:sz w:val="18"/>
          <w:szCs w:val="18"/>
          <w:color w:val="auto"/>
        </w:rPr>
      </w:pPr>
    </w:p>
    <w:p>
      <w:pPr>
        <w:ind w:right="160" w:firstLine="440"/>
        <w:spacing w:after="0" w:line="262" w:lineRule="auto"/>
        <w:tabs>
          <w:tab w:leader="none" w:pos="61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right="140" w:firstLine="440"/>
        <w:spacing w:after="0" w:line="305" w:lineRule="auto"/>
        <w:tabs>
          <w:tab w:leader="none" w:pos="61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jc w:val="both"/>
        <w:ind w:right="100" w:firstLine="440"/>
        <w:spacing w:after="0" w:line="262" w:lineRule="auto"/>
        <w:tabs>
          <w:tab w:leader="none" w:pos="61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right="200" w:firstLine="440"/>
        <w:spacing w:after="0" w:line="262" w:lineRule="auto"/>
        <w:tabs>
          <w:tab w:leader="none" w:pos="62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right="480" w:firstLine="440"/>
        <w:spacing w:after="0" w:line="262" w:lineRule="auto"/>
        <w:tabs>
          <w:tab w:leader="none" w:pos="6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right="700" w:firstLine="440"/>
        <w:spacing w:after="0" w:line="339" w:lineRule="auto"/>
        <w:tabs>
          <w:tab w:leader="none" w:pos="62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firstLine="440"/>
        <w:spacing w:after="0" w:line="262" w:lineRule="auto"/>
        <w:tabs>
          <w:tab w:leader="none" w:pos="632"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60" w:firstLine="440"/>
        <w:spacing w:after="0" w:line="339" w:lineRule="auto"/>
        <w:tabs>
          <w:tab w:leader="none" w:pos="61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sz w:val="20"/>
          <w:szCs w:val="20"/>
          <w:color w:val="auto"/>
        </w:rPr>
      </w:pPr>
    </w:p>
    <w:p>
      <w:pPr>
        <w:ind w:right="100" w:firstLine="440"/>
        <w:spacing w:after="0" w:line="275" w:lineRule="auto"/>
        <w:tabs>
          <w:tab w:leader="none" w:pos="62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440"/>
        <w:spacing w:after="0" w:line="275" w:lineRule="auto"/>
        <w:tabs>
          <w:tab w:leader="none" w:pos="632"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this 3rd day of May,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S. G</w:t>
      </w:r>
      <w:r>
        <w:rPr>
          <w:rFonts w:ascii="Arial" w:cs="Arial" w:eastAsia="Arial" w:hAnsi="Arial"/>
          <w:sz w:val="14"/>
          <w:szCs w:val="14"/>
          <w:color w:val="auto"/>
        </w:rPr>
        <w: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278130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 Gross</w:t>
      </w:r>
    </w:p>
    <w:p>
      <w:pPr>
        <w:sectPr>
          <w:pgSz w:w="11900" w:h="16838" w:orient="portrait"/>
          <w:cols w:equalWidth="0" w:num="1">
            <w:col w:w="10940"/>
          </w:cols>
          <w:pgMar w:left="460" w:top="121" w:right="49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EXHIBIT 31.2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Bruce J. Spohler, Co-Chief Executive Officer of SLR Investment Corp., certify that:</w:t>
      </w:r>
    </w:p>
    <w:p>
      <w:pPr>
        <w:spacing w:after="0" w:line="115" w:lineRule="exact"/>
        <w:rPr>
          <w:sz w:val="20"/>
          <w:szCs w:val="20"/>
          <w:color w:val="auto"/>
        </w:rPr>
      </w:pPr>
    </w:p>
    <w:p>
      <w:pPr>
        <w:ind w:left="620" w:hanging="180"/>
        <w:spacing w:after="0"/>
        <w:tabs>
          <w:tab w:leader="none" w:pos="6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SLR Investment Corp.;</w:t>
      </w:r>
    </w:p>
    <w:p>
      <w:pPr>
        <w:spacing w:after="0" w:line="222" w:lineRule="exact"/>
        <w:rPr>
          <w:rFonts w:ascii="Arial" w:cs="Arial" w:eastAsia="Arial" w:hAnsi="Arial"/>
          <w:sz w:val="18"/>
          <w:szCs w:val="18"/>
          <w:color w:val="auto"/>
        </w:rPr>
      </w:pPr>
    </w:p>
    <w:p>
      <w:pPr>
        <w:ind w:right="160" w:firstLine="440"/>
        <w:spacing w:after="0" w:line="262" w:lineRule="auto"/>
        <w:tabs>
          <w:tab w:leader="none" w:pos="61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right="140" w:firstLine="440"/>
        <w:spacing w:after="0" w:line="305" w:lineRule="auto"/>
        <w:tabs>
          <w:tab w:leader="none" w:pos="61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jc w:val="both"/>
        <w:ind w:right="100" w:firstLine="440"/>
        <w:spacing w:after="0" w:line="262" w:lineRule="auto"/>
        <w:tabs>
          <w:tab w:leader="none" w:pos="61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right="200" w:firstLine="440"/>
        <w:spacing w:after="0" w:line="262" w:lineRule="auto"/>
        <w:tabs>
          <w:tab w:leader="none" w:pos="62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right="480" w:firstLine="440"/>
        <w:spacing w:after="0" w:line="262" w:lineRule="auto"/>
        <w:tabs>
          <w:tab w:leader="none" w:pos="63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right="700" w:firstLine="440"/>
        <w:spacing w:after="0" w:line="339" w:lineRule="auto"/>
        <w:tabs>
          <w:tab w:leader="none" w:pos="62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firstLine="440"/>
        <w:spacing w:after="0" w:line="262" w:lineRule="auto"/>
        <w:tabs>
          <w:tab w:leader="none" w:pos="63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60" w:firstLine="440"/>
        <w:spacing w:after="0" w:line="339" w:lineRule="auto"/>
        <w:tabs>
          <w:tab w:leader="none" w:pos="61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sz w:val="20"/>
          <w:szCs w:val="20"/>
          <w:color w:val="auto"/>
        </w:rPr>
      </w:pPr>
    </w:p>
    <w:p>
      <w:pPr>
        <w:ind w:right="100" w:firstLine="440"/>
        <w:spacing w:after="0" w:line="275" w:lineRule="auto"/>
        <w:tabs>
          <w:tab w:leader="none" w:pos="62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440"/>
        <w:spacing w:after="0" w:line="275" w:lineRule="auto"/>
        <w:tabs>
          <w:tab w:leader="none" w:pos="63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this 3rd day of May,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S</w:t>
      </w:r>
      <w:r>
        <w:rPr>
          <w:rFonts w:ascii="Arial" w:cs="Arial" w:eastAsia="Arial" w:hAnsi="Arial"/>
          <w:sz w:val="14"/>
          <w:szCs w:val="14"/>
          <w:color w:val="auto"/>
        </w:rPr>
        <w:t>POHLER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27813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J. Spohler</w:t>
      </w:r>
    </w:p>
    <w:p>
      <w:pPr>
        <w:sectPr>
          <w:pgSz w:w="11900" w:h="16838" w:orient="portrait"/>
          <w:cols w:equalWidth="0" w:num="1">
            <w:col w:w="10940"/>
          </w:cols>
          <w:pgMar w:left="460" w:top="121" w:right="49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EXHIBIT 31.3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 Richard L. Peteka, Chief Financial Officer of SLR Investment Corp., certify that:</w:t>
      </w:r>
    </w:p>
    <w:p>
      <w:pPr>
        <w:spacing w:after="0" w:line="115" w:lineRule="exact"/>
        <w:rPr>
          <w:sz w:val="20"/>
          <w:szCs w:val="20"/>
          <w:color w:val="auto"/>
        </w:rPr>
      </w:pPr>
    </w:p>
    <w:p>
      <w:pPr>
        <w:ind w:left="620" w:hanging="180"/>
        <w:spacing w:after="0"/>
        <w:tabs>
          <w:tab w:leader="none" w:pos="62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SLR Investment Corp.;</w:t>
      </w:r>
    </w:p>
    <w:p>
      <w:pPr>
        <w:spacing w:after="0" w:line="222" w:lineRule="exact"/>
        <w:rPr>
          <w:rFonts w:ascii="Arial" w:cs="Arial" w:eastAsia="Arial" w:hAnsi="Arial"/>
          <w:sz w:val="18"/>
          <w:szCs w:val="18"/>
          <w:color w:val="auto"/>
        </w:rPr>
      </w:pPr>
    </w:p>
    <w:p>
      <w:pPr>
        <w:ind w:right="160" w:firstLine="440"/>
        <w:spacing w:after="0" w:line="262" w:lineRule="auto"/>
        <w:tabs>
          <w:tab w:leader="none" w:pos="6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right="140" w:firstLine="440"/>
        <w:spacing w:after="0" w:line="305" w:lineRule="auto"/>
        <w:tabs>
          <w:tab w:leader="none" w:pos="618" w:val="left"/>
        </w:tabs>
        <w:numPr>
          <w:ilvl w:val="0"/>
          <w:numId w:val="2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8" w:lineRule="exact"/>
        <w:rPr>
          <w:rFonts w:ascii="Arial" w:cs="Arial" w:eastAsia="Arial" w:hAnsi="Arial"/>
          <w:sz w:val="17"/>
          <w:szCs w:val="17"/>
          <w:color w:val="auto"/>
        </w:rPr>
      </w:pPr>
    </w:p>
    <w:p>
      <w:pPr>
        <w:jc w:val="both"/>
        <w:ind w:right="100" w:firstLine="440"/>
        <w:spacing w:after="0" w:line="262" w:lineRule="auto"/>
        <w:tabs>
          <w:tab w:leader="none" w:pos="618"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sz w:val="20"/>
          <w:szCs w:val="20"/>
          <w:color w:val="auto"/>
        </w:rPr>
      </w:pPr>
    </w:p>
    <w:p>
      <w:pPr>
        <w:jc w:val="both"/>
        <w:ind w:right="200" w:firstLine="440"/>
        <w:spacing w:after="0" w:line="262" w:lineRule="auto"/>
        <w:tabs>
          <w:tab w:leader="none" w:pos="62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right="480" w:firstLine="440"/>
        <w:spacing w:after="0" w:line="262" w:lineRule="auto"/>
        <w:tabs>
          <w:tab w:leader="none" w:pos="63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right="700" w:firstLine="440"/>
        <w:spacing w:after="0" w:line="339" w:lineRule="auto"/>
        <w:tabs>
          <w:tab w:leader="none" w:pos="62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Arial" w:cs="Arial" w:eastAsia="Arial" w:hAnsi="Arial"/>
          <w:sz w:val="16"/>
          <w:szCs w:val="16"/>
          <w:color w:val="auto"/>
        </w:rPr>
      </w:pPr>
    </w:p>
    <w:p>
      <w:pPr>
        <w:ind w:firstLine="440"/>
        <w:spacing w:after="0" w:line="262" w:lineRule="auto"/>
        <w:tabs>
          <w:tab w:leader="none" w:pos="632" w:val="left"/>
        </w:tabs>
        <w:numPr>
          <w:ilvl w:val="0"/>
          <w:numId w:val="2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sz w:val="20"/>
          <w:szCs w:val="20"/>
          <w:color w:val="auto"/>
        </w:rPr>
      </w:pPr>
    </w:p>
    <w:p>
      <w:pPr>
        <w:ind w:right="60" w:firstLine="440"/>
        <w:spacing w:after="0" w:line="339" w:lineRule="auto"/>
        <w:tabs>
          <w:tab w:leader="none" w:pos="61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sz w:val="20"/>
          <w:szCs w:val="20"/>
          <w:color w:val="auto"/>
        </w:rPr>
      </w:pPr>
    </w:p>
    <w:p>
      <w:pPr>
        <w:ind w:right="100" w:firstLine="440"/>
        <w:spacing w:after="0" w:line="275" w:lineRule="auto"/>
        <w:tabs>
          <w:tab w:leader="none" w:pos="62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60" w:firstLine="440"/>
        <w:spacing w:after="0" w:line="275" w:lineRule="auto"/>
        <w:tabs>
          <w:tab w:leader="none" w:pos="63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this 3rd day of May, 2022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L. P</w:t>
      </w:r>
      <w:r>
        <w:rPr>
          <w:rFonts w:ascii="Arial" w:cs="Arial" w:eastAsia="Arial" w:hAnsi="Arial"/>
          <w:sz w:val="14"/>
          <w:szCs w:val="14"/>
          <w:color w:val="auto"/>
        </w:rPr>
        <w:t>ETEKA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27813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L. Peteka</w:t>
      </w:r>
    </w:p>
    <w:p>
      <w:pPr>
        <w:sectPr>
          <w:pgSz w:w="11900" w:h="16838" w:orient="portrait"/>
          <w:cols w:equalWidth="0" w:num="1">
            <w:col w:w="10940"/>
          </w:cols>
          <w:pgMar w:left="460" w:top="121" w:right="49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t>EXHIBIT 32.1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119"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color w:val="auto"/>
        </w:rPr>
        <w:t>In connection with the Quarterly Report on Form 10-Q for the period ended March 31, 2022 (the “Report”) of SLR Investment Corp. (the “Registrant”), as filed with the Securities and Exchange Commission on the date hereof, I, MICHAEL S. GROSS, the Co-Chief Executive Officer of the Registrant, hereby certify, to the best of my knowledge, that:</w:t>
      </w:r>
    </w:p>
    <w:p>
      <w:pPr>
        <w:spacing w:after="0" w:line="75" w:lineRule="exact"/>
        <w:rPr>
          <w:sz w:val="20"/>
          <w:szCs w:val="20"/>
          <w:color w:val="auto"/>
        </w:rPr>
      </w:pPr>
    </w:p>
    <w:p>
      <w:pPr>
        <w:ind w:left="700" w:hanging="260"/>
        <w:spacing w:after="0"/>
        <w:tabs>
          <w:tab w:leader="none" w:pos="70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4" w:lineRule="exact"/>
        <w:rPr>
          <w:rFonts w:ascii="Arial" w:cs="Arial" w:eastAsia="Arial" w:hAnsi="Arial"/>
          <w:sz w:val="17"/>
          <w:szCs w:val="17"/>
          <w:color w:val="auto"/>
        </w:rPr>
      </w:pPr>
    </w:p>
    <w:p>
      <w:pPr>
        <w:ind w:right="640" w:firstLine="440"/>
        <w:spacing w:after="0" w:line="275" w:lineRule="auto"/>
        <w:tabs>
          <w:tab w:leader="none" w:pos="689"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S. G</w:t>
      </w:r>
      <w:r>
        <w:rPr>
          <w:rFonts w:ascii="Arial" w:cs="Arial" w:eastAsia="Arial" w:hAnsi="Arial"/>
          <w:sz w:val="14"/>
          <w:szCs w:val="14"/>
          <w:color w:val="auto"/>
        </w:rPr>
        <w:t>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13970</wp:posOffset>
            </wp:positionV>
            <wp:extent cx="23977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Michael S. Gross</w:t>
      </w:r>
    </w:p>
    <w:p>
      <w:pPr>
        <w:spacing w:after="0" w:line="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tab/>
        <w:t>May 3, 2022</w:t>
      </w:r>
    </w:p>
    <w:p>
      <w:pPr>
        <w:sectPr>
          <w:pgSz w:w="11900" w:h="16838" w:orient="portrait"/>
          <w:cols w:equalWidth="0" w:num="1">
            <w:col w:w="10940"/>
          </w:cols>
          <w:pgMar w:left="460" w:top="121" w:right="49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t>EXHIBIT 32.2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119"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color w:val="auto"/>
        </w:rPr>
        <w:t>In connection with the Quarterly Report on Form 10-Q for the period ended March 31, 2022 (the “Report”) of SLR Investment Corp. (the “Registrant”), as filed with the Securities and Exchange Commission on the date hereof, I, BRUCE J. SPOHLER, the Co-Chief Executive Officer of the Registrant, hereby certify, to the best of my knowledge, that:</w:t>
      </w:r>
    </w:p>
    <w:p>
      <w:pPr>
        <w:spacing w:after="0" w:line="75" w:lineRule="exact"/>
        <w:rPr>
          <w:sz w:val="20"/>
          <w:szCs w:val="20"/>
          <w:color w:val="auto"/>
        </w:rPr>
      </w:pPr>
    </w:p>
    <w:p>
      <w:pPr>
        <w:ind w:left="700" w:hanging="260"/>
        <w:spacing w:after="0"/>
        <w:tabs>
          <w:tab w:leader="none" w:pos="7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4" w:lineRule="exact"/>
        <w:rPr>
          <w:rFonts w:ascii="Arial" w:cs="Arial" w:eastAsia="Arial" w:hAnsi="Arial"/>
          <w:sz w:val="17"/>
          <w:szCs w:val="17"/>
          <w:color w:val="auto"/>
        </w:rPr>
      </w:pPr>
    </w:p>
    <w:p>
      <w:pPr>
        <w:ind w:right="620" w:firstLine="440"/>
        <w:spacing w:after="0" w:line="275" w:lineRule="auto"/>
        <w:tabs>
          <w:tab w:leader="none" w:pos="68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J. S</w:t>
      </w:r>
      <w:r>
        <w:rPr>
          <w:rFonts w:ascii="Arial" w:cs="Arial" w:eastAsia="Arial" w:hAnsi="Arial"/>
          <w:sz w:val="14"/>
          <w:szCs w:val="14"/>
          <w:color w:val="auto"/>
        </w:rPr>
        <w:t>POHLER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13970</wp:posOffset>
            </wp:positionV>
            <wp:extent cx="23977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Bruce J. Spohler</w:t>
      </w:r>
    </w:p>
    <w:p>
      <w:pPr>
        <w:spacing w:after="0" w:line="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tab/>
        <w:t>May 3, 2022</w:t>
      </w:r>
    </w:p>
    <w:p>
      <w:pPr>
        <w:sectPr>
          <w:pgSz w:w="11900" w:h="16838" w:orient="portrait"/>
          <w:cols w:equalWidth="0" w:num="1">
            <w:col w:w="10920"/>
          </w:cols>
          <w:pgMar w:left="460" w:top="121" w:right="51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color w:val="auto"/>
        </w:rPr>
        <w:t>EXHIBIT 32.3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connection with the Quarterly Report on Form 10-Q for the period ended March 31, 2022 (the “Report”) of SLR Investment Corp.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“Registrant”), as filed with the Securities and Exchange Commission on the date hereof, I, RICHARD L. PETEKA, the Chief Financial Officer of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Registrant, hereby certify, to the best of my knowledge, that:</w:t>
      </w:r>
    </w:p>
    <w:p>
      <w:pPr>
        <w:spacing w:after="0" w:line="101" w:lineRule="exact"/>
        <w:rPr>
          <w:sz w:val="20"/>
          <w:szCs w:val="20"/>
          <w:color w:val="auto"/>
        </w:rPr>
      </w:pPr>
    </w:p>
    <w:p>
      <w:pPr>
        <w:ind w:left="700" w:hanging="260"/>
        <w:spacing w:after="0"/>
        <w:tabs>
          <w:tab w:leader="none" w:pos="70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4" w:lineRule="exact"/>
        <w:rPr>
          <w:rFonts w:ascii="Arial" w:cs="Arial" w:eastAsia="Arial" w:hAnsi="Arial"/>
          <w:sz w:val="17"/>
          <w:szCs w:val="17"/>
          <w:color w:val="auto"/>
        </w:rPr>
      </w:pPr>
    </w:p>
    <w:p>
      <w:pPr>
        <w:ind w:right="440" w:firstLine="440"/>
        <w:spacing w:after="0" w:line="275" w:lineRule="auto"/>
        <w:tabs>
          <w:tab w:leader="none" w:pos="68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L. P</w:t>
      </w:r>
      <w:r>
        <w:rPr>
          <w:rFonts w:ascii="Arial" w:cs="Arial" w:eastAsia="Arial" w:hAnsi="Arial"/>
          <w:sz w:val="14"/>
          <w:szCs w:val="14"/>
          <w:color w:val="auto"/>
        </w:rPr>
        <w:t>ETEKA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13970</wp:posOffset>
            </wp:positionV>
            <wp:extent cx="23977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2397760" cy="8255"/>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Richard L. Peteka</w:t>
      </w:r>
    </w:p>
    <w:p>
      <w:pPr>
        <w:spacing w:after="0" w:line="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tab/>
        <w:t>May 3, 2022</w:t>
      </w:r>
    </w:p>
    <w:sectPr>
      <w:pgSz w:w="11900" w:h="16838" w:orient="portrait"/>
      <w:cols w:equalWidth="0" w:num="1">
        <w:col w:w="10740"/>
      </w:cols>
      <w:pgMar w:left="460" w:top="12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0D8C4A"/>
    <w:multiLevelType w:val="hybridMultilevel"/>
    <w:lvl w:ilvl="0">
      <w:lvlJc w:val="left"/>
      <w:lvlText w:val="☒"/>
      <w:numFmt w:val="bullet"/>
      <w:start w:val="1"/>
    </w:lvl>
  </w:abstractNum>
  <w:abstractNum w:abstractNumId="1">
    <w:nsid w:val="73D4D3C4"/>
    <w:multiLevelType w:val="hybridMultilevel"/>
    <w:lvl w:ilvl="0">
      <w:lvlJc w:val="left"/>
      <w:lvlText w:val="☐"/>
      <w:numFmt w:val="bullet"/>
      <w:start w:val="1"/>
    </w:lvl>
  </w:abstractNum>
  <w:abstractNum w:abstractNumId="2">
    <w:nsid w:val="746F2E30"/>
    <w:multiLevelType w:val="hybridMultilevel"/>
    <w:lvl w:ilvl="0">
      <w:lvlJc w:val="left"/>
      <w:lvlText w:val="(%1)"/>
      <w:numFmt w:val="decimal"/>
      <w:start w:val="1"/>
    </w:lvl>
  </w:abstractNum>
  <w:abstractNum w:abstractNumId="3">
    <w:nsid w:val="6FDE8AF6"/>
    <w:multiLevelType w:val="hybridMultilevel"/>
    <w:lvl w:ilvl="0">
      <w:lvlJc w:val="left"/>
      <w:lvlText w:val="(%1)"/>
      <w:numFmt w:val="decimal"/>
      <w:start w:val="3"/>
    </w:lvl>
  </w:abstractNum>
  <w:abstractNum w:abstractNumId="4">
    <w:nsid w:val="3FC32E20"/>
    <w:multiLevelType w:val="hybridMultilevel"/>
    <w:lvl w:ilvl="0">
      <w:lvlJc w:val="left"/>
      <w:lvlText w:val="*"/>
      <w:numFmt w:val="bullet"/>
      <w:start w:val="1"/>
    </w:lvl>
  </w:abstractNum>
  <w:abstractNum w:abstractNumId="5">
    <w:nsid w:val="49C0E823"/>
    <w:multiLevelType w:val="hybridMultilevel"/>
    <w:lvl w:ilvl="0">
      <w:lvlJc w:val="left"/>
      <w:lvlText w:val="(%1)"/>
      <w:numFmt w:val="decimal"/>
      <w:start w:val="1"/>
    </w:lvl>
  </w:abstractNum>
  <w:abstractNum w:abstractNumId="6">
    <w:nsid w:val="14D53685"/>
    <w:multiLevelType w:val="hybridMultilevel"/>
    <w:lvl w:ilvl="0">
      <w:lvlJc w:val="left"/>
      <w:lvlText w:val="(%1)"/>
      <w:numFmt w:val="decimal"/>
      <w:start w:val="3"/>
    </w:lvl>
  </w:abstractNum>
  <w:abstractNum w:abstractNumId="7">
    <w:nsid w:val="230F856C"/>
    <w:multiLevelType w:val="hybridMultilevel"/>
    <w:lvl w:ilvl="0">
      <w:lvlJc w:val="left"/>
      <w:lvlText w:val="*"/>
      <w:numFmt w:val="bullet"/>
      <w:start w:val="1"/>
    </w:lvl>
  </w:abstractNum>
  <w:abstractNum w:abstractNumId="8">
    <w:nsid w:val="6EAA85FB"/>
    <w:multiLevelType w:val="hybridMultilevel"/>
    <w:lvl w:ilvl="0">
      <w:lvlJc w:val="left"/>
      <w:lvlText w:val="(%1)"/>
      <w:numFmt w:val="lowerLetter"/>
      <w:start w:val="1"/>
    </w:lvl>
    <w:lvl w:ilvl="1">
      <w:lvlJc w:val="left"/>
      <w:lvlText w:val="(%2)"/>
      <w:numFmt w:val="decimal"/>
      <w:start w:val="1"/>
    </w:lvl>
  </w:abstractNum>
  <w:abstractNum w:abstractNumId="9">
    <w:nsid w:val="3F06ECB2"/>
    <w:multiLevelType w:val="hybridMultilevel"/>
    <w:lvl w:ilvl="0">
      <w:lvlJc w:val="left"/>
      <w:lvlText w:val="(%1)"/>
      <w:numFmt w:val="lowerLetter"/>
      <w:start w:val="3"/>
    </w:lvl>
  </w:abstractNum>
  <w:abstractNum w:abstractNumId="10">
    <w:nsid w:val="3B594807"/>
    <w:multiLevelType w:val="hybridMultilevel"/>
    <w:lvl w:ilvl="0">
      <w:lvlJc w:val="left"/>
      <w:lvlText w:val="(%1)"/>
      <w:numFmt w:val="lowerLetter"/>
      <w:start w:val="12"/>
    </w:lvl>
  </w:abstractNum>
  <w:abstractNum w:abstractNumId="11">
    <w:nsid w:val="6CAA2304"/>
    <w:multiLevelType w:val="hybridMultilevel"/>
    <w:lvl w:ilvl="0">
      <w:lvlJc w:val="left"/>
      <w:lvlText w:val="(%1)"/>
      <w:numFmt w:val="decimal"/>
      <w:start w:val="1"/>
    </w:lvl>
  </w:abstractNum>
  <w:abstractNum w:abstractNumId="12">
    <w:nsid w:val="3F7C2FF4"/>
    <w:multiLevelType w:val="hybridMultilevel"/>
    <w:lvl w:ilvl="0">
      <w:lvlJc w:val="left"/>
      <w:lvlText w:val="%1)"/>
      <w:numFmt w:val="lowerLetter"/>
      <w:start w:val="1"/>
    </w:lvl>
  </w:abstractNum>
  <w:abstractNum w:abstractNumId="13">
    <w:nsid w:val="25413BEC"/>
    <w:multiLevelType w:val="hybridMultilevel"/>
    <w:lvl w:ilvl="0">
      <w:lvlJc w:val="left"/>
      <w:lvlText w:val="(%1)"/>
      <w:numFmt w:val="decimal"/>
      <w:start w:val="1"/>
    </w:lvl>
  </w:abstractNum>
  <w:abstractNum w:abstractNumId="14">
    <w:nsid w:val="17180B0B"/>
    <w:multiLevelType w:val="hybridMultilevel"/>
    <w:lvl w:ilvl="0">
      <w:lvlJc w:val="left"/>
      <w:lvlText w:val="(%1)"/>
      <w:numFmt w:val="decimal"/>
      <w:start w:val="1"/>
    </w:lvl>
  </w:abstractNum>
  <w:abstractNum w:abstractNumId="15">
    <w:nsid w:val="579328B9"/>
    <w:multiLevelType w:val="hybridMultilevel"/>
    <w:lvl w:ilvl="0">
      <w:lvlJc w:val="left"/>
      <w:lvlText w:val="(%1)"/>
      <w:numFmt w:val="decimal"/>
      <w:start w:val="1"/>
    </w:lvl>
  </w:abstractNum>
  <w:abstractNum w:abstractNumId="16">
    <w:nsid w:val="5D205E20"/>
    <w:multiLevelType w:val="hybridMultilevel"/>
    <w:lvl w:ilvl="0">
      <w:lvlJc w:val="left"/>
      <w:lvlText w:val="(%1)"/>
      <w:numFmt w:val="decimal"/>
      <w:start w:val="1"/>
    </w:lvl>
  </w:abstractNum>
  <w:abstractNum w:abstractNumId="17">
    <w:nsid w:val="11CCA8BA"/>
    <w:multiLevelType w:val="hybridMultilevel"/>
    <w:lvl w:ilvl="0">
      <w:lvlJc w:val="left"/>
      <w:lvlText w:val="(%1)"/>
      <w:numFmt w:val="lowerLetter"/>
      <w:start w:val="1"/>
    </w:lvl>
  </w:abstractNum>
  <w:abstractNum w:abstractNumId="18">
    <w:nsid w:val="4D32AB86"/>
    <w:multiLevelType w:val="hybridMultilevel"/>
    <w:lvl w:ilvl="0">
      <w:lvlJc w:val="left"/>
      <w:lvlText w:val="•"/>
      <w:numFmt w:val="bullet"/>
      <w:start w:val="1"/>
    </w:lvl>
  </w:abstractNum>
  <w:abstractNum w:abstractNumId="19">
    <w:nsid w:val="3F07ACC3"/>
    <w:multiLevelType w:val="hybridMultilevel"/>
    <w:lvl w:ilvl="0">
      <w:lvlJc w:val="left"/>
      <w:lvlText w:val="•"/>
      <w:numFmt w:val="bullet"/>
      <w:start w:val="1"/>
    </w:lvl>
  </w:abstractNum>
  <w:abstractNum w:abstractNumId="20">
    <w:nsid w:val="6B47F63E"/>
    <w:multiLevelType w:val="hybridMultilevel"/>
    <w:lvl w:ilvl="0">
      <w:lvlJc w:val="left"/>
      <w:lvlText w:val="%1."/>
      <w:numFmt w:val="decimal"/>
      <w:start w:val="30"/>
    </w:lvl>
  </w:abstractNum>
  <w:abstractNum w:abstractNumId="21">
    <w:nsid w:val="5CB44A05"/>
    <w:multiLevelType w:val="hybridMultilevel"/>
    <w:lvl w:ilvl="0">
      <w:lvlJc w:val="left"/>
      <w:lvlText w:val="•"/>
      <w:numFmt w:val="bullet"/>
      <w:start w:val="1"/>
    </w:lvl>
  </w:abstractNum>
  <w:abstractNum w:abstractNumId="22">
    <w:nsid w:val="16CF80F1"/>
    <w:multiLevelType w:val="hybridMultilevel"/>
    <w:lvl w:ilvl="0">
      <w:lvlJc w:val="left"/>
      <w:lvlText w:val="•"/>
      <w:numFmt w:val="bullet"/>
      <w:start w:val="1"/>
    </w:lvl>
  </w:abstractNum>
  <w:abstractNum w:abstractNumId="23">
    <w:nsid w:val="1C695DEC"/>
    <w:multiLevelType w:val="hybridMultilevel"/>
    <w:lvl w:ilvl="0">
      <w:lvlJc w:val="left"/>
      <w:lvlText w:val="*"/>
      <w:numFmt w:val="bullet"/>
      <w:start w:val="1"/>
    </w:lvl>
  </w:abstractNum>
  <w:abstractNum w:abstractNumId="24">
    <w:nsid w:val="3FCFAED9"/>
    <w:multiLevelType w:val="hybridMultilevel"/>
    <w:lvl w:ilvl="0">
      <w:lvlJc w:val="left"/>
      <w:lvlText w:val="(%1)"/>
      <w:numFmt w:val="decimal"/>
      <w:start w:val="1"/>
    </w:lvl>
  </w:abstractNum>
  <w:abstractNum w:abstractNumId="25">
    <w:nsid w:val="F856867"/>
    <w:multiLevelType w:val="hybridMultilevel"/>
    <w:lvl w:ilvl="0">
      <w:lvlJc w:val="left"/>
      <w:lvlText w:val="(%1)"/>
      <w:numFmt w:val="decimal"/>
      <w:start w:val="1"/>
    </w:lvl>
  </w:abstractNum>
  <w:abstractNum w:abstractNumId="26">
    <w:nsid w:val="11B1CC33"/>
    <w:multiLevelType w:val="hybridMultilevel"/>
    <w:lvl w:ilvl="0">
      <w:lvlJc w:val="left"/>
      <w:lvlText w:val="•"/>
      <w:numFmt w:val="bullet"/>
      <w:start w:val="1"/>
    </w:lvl>
  </w:abstractNum>
  <w:abstractNum w:abstractNumId="27">
    <w:nsid w:val="2E22FBB7"/>
    <w:multiLevelType w:val="hybridMultilevel"/>
    <w:lvl w:ilvl="0">
      <w:lvlJc w:val="left"/>
      <w:lvlText w:val="(%1)"/>
      <w:numFmt w:val="decimal"/>
      <w:start w:val="1"/>
    </w:lvl>
  </w:abstractNum>
  <w:abstractNum w:abstractNumId="28">
    <w:nsid w:val="29934699"/>
    <w:multiLevelType w:val="hybridMultilevel"/>
    <w:lvl w:ilvl="0">
      <w:lvlJc w:val="left"/>
      <w:lvlText w:val="*"/>
      <w:numFmt w:val="bullet"/>
      <w:start w:val="1"/>
    </w:lvl>
  </w:abstractNum>
  <w:abstractNum w:abstractNumId="29">
    <w:nsid w:val="77485850"/>
    <w:multiLevelType w:val="hybridMultilevel"/>
    <w:lvl w:ilvl="0">
      <w:lvlJc w:val="left"/>
      <w:lvlText w:val="(%1)"/>
      <w:numFmt w:val="decimal"/>
      <w:start w:val="1"/>
    </w:lvl>
  </w:abstractNum>
  <w:abstractNum w:abstractNumId="30">
    <w:nsid w:val="744939A3"/>
    <w:multiLevelType w:val="hybridMultilevel"/>
    <w:lvl w:ilvl="0">
      <w:lvlJc w:val="left"/>
      <w:lvlText w:val="(%1)"/>
      <w:numFmt w:val="lowerLetter"/>
      <w:start w:val="2"/>
    </w:lvl>
  </w:abstractNum>
  <w:abstractNum w:abstractNumId="31">
    <w:nsid w:val="4FA0D2E3"/>
    <w:multiLevelType w:val="hybridMultilevel"/>
    <w:lvl w:ilvl="0">
      <w:lvlJc w:val="left"/>
      <w:lvlText w:val="(%1)"/>
      <w:numFmt w:val="lowerRoman"/>
      <w:start w:val="10"/>
    </w:lvl>
  </w:abstractNum>
  <w:abstractNum w:abstractNumId="32">
    <w:nsid w:val="6B1D2C14"/>
    <w:multiLevelType w:val="hybridMultilevel"/>
    <w:lvl w:ilvl="0">
      <w:lvlJc w:val="left"/>
      <w:lvlText w:val="(%1)"/>
      <w:numFmt w:val="lowerRoman"/>
      <w:start w:val="1"/>
    </w:lvl>
  </w:abstractNum>
  <w:abstractNum w:abstractNumId="33">
    <w:nsid w:val="68B867D3"/>
    <w:multiLevelType w:val="hybridMultilevel"/>
    <w:lvl w:ilvl="0">
      <w:lvlJc w:val="left"/>
      <w:lvlText w:val="(%1)"/>
      <w:numFmt w:val="lowerRoman"/>
      <w:start w:val="1"/>
    </w:lvl>
  </w:abstractNum>
  <w:abstractNum w:abstractNumId="34">
    <w:nsid w:val="3F7F5DD9"/>
    <w:multiLevelType w:val="hybridMultilevel"/>
    <w:lvl w:ilvl="0">
      <w:lvlJc w:val="left"/>
      <w:lvlText w:val="(%1)"/>
      <w:numFmt w:val="decimal"/>
      <w:start w:val="1"/>
    </w:lvl>
  </w:abstractNum>
  <w:abstractNum w:abstractNumId="35">
    <w:nsid w:val="2AE05A34"/>
    <w:multiLevelType w:val="hybridMultilevel"/>
    <w:lvl w:ilvl="0">
      <w:lvlJc w:val="left"/>
      <w:lvlText w:val="(%1)"/>
      <w:numFmt w:val="decimal"/>
      <w:start w:val="1"/>
    </w:lvl>
  </w:abstractNum>
  <w:abstractNum w:abstractNumId="36">
    <w:nsid w:val="32794FF7"/>
    <w:multiLevelType w:val="hybridMultilevel"/>
    <w:lvl w:ilvl="0">
      <w:lvlJc w:val="left"/>
      <w:lvlText w:val="(%1)"/>
      <w:numFmt w:val="decimal"/>
      <w:start w:val="1"/>
    </w:lvl>
  </w:abstractNum>
  <w:abstractNum w:abstractNumId="37">
    <w:nsid w:val="5454945E"/>
    <w:multiLevelType w:val="hybridMultilevel"/>
    <w:lvl w:ilvl="0">
      <w:lvlJc w:val="left"/>
      <w:lvlText w:val="(%1)"/>
      <w:numFmt w:val="decimal"/>
      <w:start w:val="2"/>
    </w:lvl>
  </w:abstractNum>
  <w:abstractNum w:abstractNumId="38">
    <w:nsid w:val="4DEFDFA0"/>
    <w:multiLevelType w:val="hybridMultilevel"/>
    <w:lvl w:ilvl="0">
      <w:lvlJc w:val="left"/>
      <w:lvlText w:val="(%1)"/>
      <w:numFmt w:val="decimal"/>
      <w:start w:val="1"/>
    </w:lvl>
  </w:abstractNum>
  <w:abstractNum w:abstractNumId="39">
    <w:nsid w:val="2123D5F2"/>
    <w:multiLevelType w:val="hybridMultilevel"/>
    <w:lvl w:ilvl="0">
      <w:lvlJc w:val="left"/>
      <w:lvlText w:val="(%1)"/>
      <w:numFmt w:val="lowerRoman"/>
      <w:start w:val="1"/>
    </w:lvl>
  </w:abstractNum>
  <w:abstractNum w:abstractNumId="40">
    <w:nsid w:val="135B8110"/>
    <w:multiLevelType w:val="hybridMultilevel"/>
    <w:lvl w:ilvl="0">
      <w:lvlJc w:val="left"/>
      <w:lvlText w:val="(%1)"/>
      <w:numFmt w:val="lowerLetter"/>
      <w:start w:val="1"/>
    </w:lvl>
  </w:abstractNum>
  <w:abstractNum w:abstractNumId="41">
    <w:nsid w:val="94927A8"/>
    <w:multiLevelType w:val="hybridMultilevel"/>
    <w:lvl w:ilvl="0">
      <w:lvlJc w:val="left"/>
      <w:lvlText w:val="(%1)"/>
      <w:numFmt w:val="lowerLetter"/>
      <w:start w:val="1"/>
    </w:lvl>
  </w:abstractNum>
  <w:abstractNum w:abstractNumId="42">
    <w:nsid w:val="DCDF8F6"/>
    <w:multiLevelType w:val="hybridMultilevel"/>
    <w:lvl w:ilvl="0">
      <w:lvlJc w:val="left"/>
      <w:lvlText w:val="(%1)"/>
      <w:numFmt w:val="lowerRoman"/>
      <w:start w:val="1"/>
    </w:lvl>
  </w:abstractNum>
  <w:abstractNum w:abstractNumId="43">
    <w:nsid w:val="52D7B105"/>
    <w:multiLevelType w:val="hybridMultilevel"/>
    <w:lvl w:ilvl="0">
      <w:lvlJc w:val="left"/>
      <w:lvlText w:val="(%1)"/>
      <w:numFmt w:val="lowerRoman"/>
      <w:start w:val="4"/>
    </w:lvl>
  </w:abstractNum>
  <w:abstractNum w:abstractNumId="44">
    <w:nsid w:val="2E8A6394"/>
    <w:multiLevelType w:val="hybridMultilevel"/>
    <w:lvl w:ilvl="0">
      <w:lvlJc w:val="left"/>
      <w:lvlText w:val="(%1)"/>
      <w:numFmt w:val="lowerLetter"/>
      <w:start w:val="1"/>
    </w:lvl>
    <w:lvl w:ilvl="1">
      <w:lvlJc w:val="left"/>
      <w:lvlText w:val="(%2)"/>
      <w:numFmt w:val="lowerRoman"/>
      <w:start w:val="1"/>
    </w:lvl>
  </w:abstractNum>
  <w:abstractNum w:abstractNumId="45">
    <w:nsid w:val="24E60401"/>
    <w:multiLevelType w:val="hybridMultilevel"/>
    <w:lvl w:ilvl="0">
      <w:lvlJc w:val="left"/>
      <w:lvlText w:val="(%1)"/>
      <w:numFmt w:val="lowerLetter"/>
      <w:start w:val="7"/>
    </w:lvl>
    <w:lvl w:ilvl="1">
      <w:lvlJc w:val="left"/>
      <w:lvlText w:val="(%2)"/>
      <w:numFmt w:val="decimal"/>
      <w:start w:val="2"/>
    </w:lvl>
  </w:abstractNum>
  <w:abstractNum w:abstractNumId="46">
    <w:nsid w:val="2A6AD9BE"/>
    <w:multiLevelType w:val="hybridMultilevel"/>
    <w:lvl w:ilvl="0">
      <w:lvlJc w:val="left"/>
      <w:lvlText w:val="(%1)"/>
      <w:numFmt w:val="lowerLetter"/>
      <w:start w:val="14"/>
    </w:lvl>
  </w:abstractNum>
  <w:abstractNum w:abstractNumId="47">
    <w:nsid w:val="BAAC1B4"/>
    <w:multiLevelType w:val="hybridMultilevel"/>
    <w:lvl w:ilvl="0">
      <w:lvlJc w:val="left"/>
      <w:lvlText w:val="(%1)"/>
      <w:numFmt w:val="lowerRoman"/>
      <w:start w:val="2"/>
    </w:lvl>
  </w:abstractNum>
  <w:abstractNum w:abstractNumId="48">
    <w:nsid w:val="36B2ACBC"/>
    <w:multiLevelType w:val="hybridMultilevel"/>
    <w:lvl w:ilvl="0">
      <w:lvlJc w:val="left"/>
      <w:lvlText w:val="(%1)"/>
      <w:numFmt w:val="lowerRoman"/>
      <w:start w:val="2"/>
    </w:lvl>
  </w:abstractNum>
  <w:abstractNum w:abstractNumId="49">
    <w:nsid w:val="779D8544"/>
    <w:multiLevelType w:val="hybridMultilevel"/>
    <w:lvl w:ilvl="0">
      <w:lvlJc w:val="left"/>
      <w:lvlText w:val="(%1)"/>
      <w:numFmt w:val="decimal"/>
      <w:start w:val="1"/>
    </w:lvl>
  </w:abstractNum>
  <w:abstractNum w:abstractNumId="50">
    <w:nsid w:val="4AB26E78"/>
    <w:multiLevelType w:val="hybridMultilevel"/>
    <w:lvl w:ilvl="0">
      <w:lvlJc w:val="left"/>
      <w:lvlText w:val="(%1)"/>
      <w:numFmt w:val="lowerRoman"/>
      <w:start w:val="1"/>
    </w:lvl>
  </w:abstractNum>
  <w:abstractNum w:abstractNumId="51">
    <w:nsid w:val="21FAA2FA"/>
    <w:multiLevelType w:val="hybridMultilevel"/>
    <w:lvl w:ilvl="0">
      <w:lvlJc w:val="left"/>
      <w:lvlText w:val="(%1)"/>
      <w:numFmt w:val="lowerRoman"/>
      <w:start w:val="1"/>
    </w:lvl>
  </w:abstractNum>
  <w:abstractNum w:abstractNumId="52">
    <w:nsid w:val="5451CF49"/>
    <w:multiLevelType w:val="hybridMultilevel"/>
    <w:lvl w:ilvl="0">
      <w:lvlJc w:val="left"/>
      <w:lvlText w:val="(%1)"/>
      <w:numFmt w:val="upperLetter"/>
      <w:start w:val="2"/>
    </w:lvl>
  </w:abstractNum>
  <w:abstractNum w:abstractNumId="53">
    <w:nsid w:val="6181EF69"/>
    <w:multiLevelType w:val="hybridMultilevel"/>
    <w:lvl w:ilvl="0">
      <w:lvlJc w:val="left"/>
      <w:lvlText w:val="(%1)"/>
      <w:numFmt w:val="lowerRoman"/>
      <w:start w:val="2"/>
    </w:lvl>
  </w:abstractNum>
  <w:abstractNum w:abstractNumId="54">
    <w:nsid w:val="3E6400E6"/>
    <w:multiLevelType w:val="hybridMultilevel"/>
    <w:lvl w:ilvl="0">
      <w:lvlJc w:val="left"/>
      <w:lvlText w:val="(%1)"/>
      <w:numFmt w:val="lowerRoman"/>
      <w:start w:val="1"/>
    </w:lvl>
  </w:abstractNum>
  <w:abstractNum w:abstractNumId="55">
    <w:nsid w:val="14217E23"/>
    <w:multiLevelType w:val="hybridMultilevel"/>
    <w:lvl w:ilvl="0">
      <w:lvlJc w:val="left"/>
      <w:lvlText w:val="(%1)"/>
      <w:numFmt w:val="lowerRoman"/>
      <w:start w:val="3"/>
    </w:lvl>
  </w:abstractNum>
  <w:abstractNum w:abstractNumId="56">
    <w:nsid w:val="710757D0"/>
    <w:multiLevelType w:val="hybridMultilevel"/>
    <w:lvl w:ilvl="0">
      <w:lvlJc w:val="left"/>
      <w:lvlText w:val="(%1)"/>
      <w:numFmt w:val="lowerLetter"/>
      <w:start w:val="1"/>
    </w:lvl>
    <w:lvl w:ilvl="1">
      <w:lvlJc w:val="left"/>
      <w:lvlText w:val="(%2)"/>
      <w:numFmt w:val="lowerRoman"/>
      <w:start w:val="1"/>
    </w:lvl>
  </w:abstractNum>
  <w:abstractNum w:abstractNumId="57">
    <w:nsid w:val="5015CD1A"/>
    <w:multiLevelType w:val="hybridMultilevel"/>
    <w:lvl w:ilvl="0">
      <w:lvlJc w:val="left"/>
      <w:lvlText w:val="(%1)"/>
      <w:numFmt w:val="lowerLetter"/>
      <w:start w:val="2"/>
    </w:lvl>
    <w:lvl w:ilvl="1">
      <w:lvlJc w:val="left"/>
      <w:lvlText w:val="(%2)"/>
      <w:numFmt w:val="lowerRoman"/>
      <w:start w:val="1"/>
    </w:lvl>
  </w:abstractNum>
  <w:abstractNum w:abstractNumId="58">
    <w:nsid w:val="424479DA"/>
    <w:multiLevelType w:val="hybridMultilevel"/>
    <w:lvl w:ilvl="0">
      <w:lvlJc w:val="left"/>
      <w:lvlText w:val="(%1)"/>
      <w:numFmt w:val="lowerLetter"/>
      <w:start w:val="1"/>
    </w:lvl>
  </w:abstractNum>
  <w:abstractNum w:abstractNumId="59">
    <w:nsid w:val="1A9A9E69"/>
    <w:multiLevelType w:val="hybridMultilevel"/>
    <w:lvl w:ilvl="0">
      <w:lvlJc w:val="left"/>
      <w:lvlText w:val="(%1)"/>
      <w:numFmt w:val="lowerLetter"/>
      <w:start w:val="2"/>
    </w:lvl>
  </w:abstractNum>
  <w:abstractNum w:abstractNumId="60">
    <w:nsid w:val="475E256A"/>
    <w:multiLevelType w:val="hybridMultilevel"/>
    <w:lvl w:ilvl="0">
      <w:lvlJc w:val="left"/>
      <w:lvlText w:val="(%1)"/>
      <w:numFmt w:val="lowerLetter"/>
      <w:start w:val="1"/>
    </w:lvl>
  </w:abstractNum>
  <w:abstractNum w:abstractNumId="61">
    <w:nsid w:val="368DB37E"/>
    <w:multiLevelType w:val="hybridMultilevel"/>
    <w:lvl w:ilvl="0">
      <w:lvlJc w:val="left"/>
      <w:lvlText w:val="(%1)"/>
      <w:numFmt w:val="lowerLetter"/>
      <w:start w:val="9"/>
    </w:lvl>
  </w:abstractNum>
  <w:abstractNum w:abstractNumId="62">
    <w:nsid w:val="6A3B714C"/>
    <w:multiLevelType w:val="hybridMultilevel"/>
    <w:lvl w:ilvl="0">
      <w:lvlJc w:val="left"/>
      <w:lvlText w:val="(%1)"/>
      <w:numFmt w:val="lowerRoman"/>
      <w:start w:val="1"/>
    </w:lvl>
  </w:abstractNum>
  <w:abstractNum w:abstractNumId="63">
    <w:nsid w:val="327B517E"/>
    <w:multiLevelType w:val="hybridMultilevel"/>
    <w:lvl w:ilvl="0">
      <w:lvlJc w:val="left"/>
      <w:lvlText w:val="(%1)"/>
      <w:numFmt w:val="lowerLetter"/>
      <w:start w:val="25"/>
    </w:lvl>
  </w:abstractNum>
  <w:abstractNum w:abstractNumId="64">
    <w:nsid w:val="1F461B51"/>
    <w:multiLevelType w:val="hybridMultilevel"/>
    <w:lvl w:ilvl="0">
      <w:lvlJc w:val="left"/>
      <w:lvlText w:val="(%1)"/>
      <w:numFmt w:val="lowerLetter"/>
      <w:start w:val="1"/>
    </w:lvl>
  </w:abstractNum>
  <w:abstractNum w:abstractNumId="65">
    <w:nsid w:val="29BACF25"/>
    <w:multiLevelType w:val="hybridMultilevel"/>
    <w:lvl w:ilvl="0">
      <w:lvlJc w:val="left"/>
      <w:lvlText w:val="(%1)"/>
      <w:numFmt w:val="lowerLetter"/>
      <w:start w:val="1"/>
    </w:lvl>
  </w:abstractNum>
  <w:abstractNum w:abstractNumId="66">
    <w:nsid w:val="5D5BABB3"/>
    <w:multiLevelType w:val="hybridMultilevel"/>
    <w:lvl w:ilvl="0">
      <w:lvlJc w:val="left"/>
      <w:lvlText w:val="(%1)"/>
      <w:numFmt w:val="lowerLetter"/>
      <w:start w:val="1"/>
    </w:lvl>
  </w:abstractNum>
  <w:abstractNum w:abstractNumId="67">
    <w:nsid w:val="51BF6B48"/>
    <w:multiLevelType w:val="hybridMultilevel"/>
    <w:lvl w:ilvl="0">
      <w:lvlJc w:val="left"/>
      <w:lvlText w:val="%1"/>
      <w:numFmt w:val="lowerLetter"/>
      <w:start w:val="1"/>
    </w:lvl>
    <w:lvl w:ilvl="1">
      <w:lvlJc w:val="left"/>
      <w:lvlText w:val="(%2)"/>
      <w:numFmt w:val="lowerLetter"/>
      <w:start w:val="4"/>
    </w:lvl>
  </w:abstractNum>
  <w:abstractNum w:abstractNumId="68">
    <w:nsid w:val="7E0F6384"/>
    <w:multiLevelType w:val="hybridMultilevel"/>
    <w:lvl w:ilvl="0">
      <w:lvlJc w:val="left"/>
      <w:lvlText w:val="(%1)"/>
      <w:numFmt w:val="lowerLetter"/>
      <w:start w:val="24"/>
    </w:lvl>
    <w:lvl w:ilvl="1">
      <w:lvlJc w:val="left"/>
      <w:lvlText w:val="(%2)"/>
      <w:numFmt w:val="lowerLetter"/>
      <w:start w:val="7"/>
    </w:lvl>
  </w:abstractNum>
  <w:abstractNum w:abstractNumId="69">
    <w:nsid w:val="2B4B8B53"/>
    <w:multiLevelType w:val="hybridMultilevel"/>
    <w:lvl w:ilvl="0">
      <w:lvlJc w:val="left"/>
      <w:lvlText w:val="(%1)"/>
      <w:numFmt w:val="lowerLetter"/>
      <w:start w:val="13"/>
    </w:lvl>
  </w:abstractNum>
  <w:abstractNum w:abstractNumId="70">
    <w:nsid w:val="72E3413A"/>
    <w:multiLevelType w:val="hybridMultilevel"/>
    <w:lvl w:ilvl="0">
      <w:lvlJc w:val="left"/>
      <w:lvlText w:val="(%1)"/>
      <w:numFmt w:val="lowerRoman"/>
      <w:start w:val="10"/>
    </w:lvl>
  </w:abstractNum>
  <w:abstractNum w:abstractNumId="71">
    <w:nsid w:val="116AE494"/>
    <w:multiLevelType w:val="hybridMultilevel"/>
    <w:lvl w:ilvl="0">
      <w:lvlJc w:val="left"/>
      <w:lvlText w:val="(%1)"/>
      <w:numFmt w:val="decimal"/>
      <w:start w:val="1"/>
    </w:lvl>
  </w:abstractNum>
  <w:abstractNum w:abstractNumId="72">
    <w:nsid w:val="3494B2FB"/>
    <w:multiLevelType w:val="hybridMultilevel"/>
    <w:lvl w:ilvl="0">
      <w:lvlJc w:val="left"/>
      <w:lvlText w:val="(%1)"/>
      <w:numFmt w:val="decimal"/>
      <w:start w:val="4"/>
    </w:lvl>
  </w:abstractNum>
  <w:abstractNum w:abstractNumId="73">
    <w:nsid w:val="B13A31"/>
    <w:multiLevelType w:val="hybridMultilevel"/>
    <w:lvl w:ilvl="0">
      <w:lvlJc w:val="left"/>
      <w:lvlText w:val="(%1)"/>
      <w:numFmt w:val="lowerRoman"/>
      <w:start w:val="1"/>
    </w:lvl>
  </w:abstractNum>
  <w:abstractNum w:abstractNumId="74">
    <w:nsid w:val="64429599"/>
    <w:multiLevelType w:val="hybridMultilevel"/>
    <w:lvl w:ilvl="0">
      <w:lvlJc w:val="left"/>
      <w:lvlText w:val="L"/>
      <w:numFmt w:val="bullet"/>
      <w:start w:val="1"/>
    </w:lvl>
  </w:abstractNum>
  <w:abstractNum w:abstractNumId="75">
    <w:nsid w:val="631F1690"/>
    <w:multiLevelType w:val="hybridMultilevel"/>
    <w:lvl w:ilvl="0">
      <w:lvlJc w:val="left"/>
      <w:lvlText w:val="D"/>
      <w:numFmt w:val="bullet"/>
      <w:start w:val="1"/>
    </w:lvl>
  </w:abstractNum>
  <w:abstractNum w:abstractNumId="76">
    <w:nsid w:val="25973E32"/>
    <w:multiLevelType w:val="hybridMultilevel"/>
    <w:lvl w:ilvl="0">
      <w:lvlJc w:val="left"/>
      <w:lvlText w:val="(%1)"/>
      <w:numFmt w:val="upperLetter"/>
      <w:start w:val="1"/>
    </w:lvl>
    <w:lvl w:ilvl="1">
      <w:lvlJc w:val="left"/>
      <w:lvlText w:val="(%2)"/>
      <w:numFmt w:val="lowerRoman"/>
      <w:start w:val="1"/>
    </w:lvl>
  </w:abstractNum>
  <w:abstractNum w:abstractNumId="77">
    <w:nsid w:val="EAD6F57"/>
    <w:multiLevelType w:val="hybridMultilevel"/>
    <w:lvl w:ilvl="0">
      <w:lvlJc w:val="left"/>
      <w:lvlText w:val="(%1)"/>
      <w:numFmt w:val="lowerLetter"/>
      <w:start w:val="1"/>
    </w:lvl>
  </w:abstractNum>
  <w:abstractNum w:abstractNumId="78">
    <w:nsid w:val="6EC9D844"/>
    <w:multiLevelType w:val="hybridMultilevel"/>
    <w:lvl w:ilvl="0">
      <w:lvlJc w:val="left"/>
      <w:lvlText w:val="(%1)"/>
      <w:numFmt w:val="lowerLetter"/>
      <w:start w:val="8"/>
    </w:lvl>
  </w:abstractNum>
  <w:abstractNum w:abstractNumId="79">
    <w:nsid w:val="5C49EAEE"/>
    <w:multiLevelType w:val="hybridMultilevel"/>
    <w:lvl w:ilvl="0">
      <w:lvlJc w:val="left"/>
      <w:lvlText w:val="(%1)"/>
      <w:numFmt w:val="lowerLetter"/>
      <w:start w:val="1"/>
    </w:lvl>
  </w:abstractNum>
  <w:abstractNum w:abstractNumId="80">
    <w:nsid w:val="64AF49B"/>
    <w:multiLevelType w:val="hybridMultilevel"/>
    <w:lvl w:ilvl="0">
      <w:lvlJc w:val="left"/>
      <w:lvlText w:val="(%1)"/>
      <w:numFmt w:val="lowerLetter"/>
      <w:start w:val="3"/>
    </w:lvl>
  </w:abstractNum>
  <w:abstractNum w:abstractNumId="81">
    <w:nsid w:val="397C46BC"/>
    <w:multiLevelType w:val="hybridMultilevel"/>
    <w:lvl w:ilvl="0">
      <w:lvlJc w:val="left"/>
      <w:lvlText w:val="%1"/>
      <w:numFmt w:val="lowerRoman"/>
      <w:start w:val="1"/>
    </w:lvl>
    <w:lvl w:ilvl="1">
      <w:lvlJc w:val="left"/>
      <w:lvlText w:val="(%2)"/>
      <w:numFmt w:val="lowerLetter"/>
      <w:start w:val="2"/>
    </w:lvl>
  </w:abstractNum>
  <w:abstractNum w:abstractNumId="82">
    <w:nsid w:val="7E448DE9"/>
    <w:multiLevelType w:val="hybridMultilevel"/>
    <w:lvl w:ilvl="0">
      <w:lvlJc w:val="left"/>
      <w:lvlText w:val="(%1)"/>
      <w:numFmt w:val="lowerRoman"/>
      <w:start w:val="1"/>
    </w:lvl>
    <w:lvl w:ilvl="1">
      <w:lvlJc w:val="left"/>
      <w:lvlText w:val="%2"/>
      <w:numFmt w:val="lowerLetter"/>
      <w:start w:val="1"/>
    </w:lvl>
  </w:abstractNum>
  <w:abstractNum w:abstractNumId="83">
    <w:nsid w:val="5A9CC3E5"/>
    <w:multiLevelType w:val="hybridMultilevel"/>
    <w:lvl w:ilvl="0">
      <w:lvlJc w:val="left"/>
      <w:lvlText w:val="%1"/>
      <w:numFmt w:val="lowerLetter"/>
      <w:start w:val="1"/>
    </w:lvl>
    <w:lvl w:ilvl="1">
      <w:lvlJc w:val="left"/>
      <w:lvlText w:val="(%2)"/>
      <w:numFmt w:val="lowerLetter"/>
      <w:start w:val="3"/>
    </w:lvl>
  </w:abstractNum>
  <w:abstractNum w:abstractNumId="84">
    <w:nsid w:val="1AFE3625"/>
    <w:multiLevelType w:val="hybridMultilevel"/>
    <w:lvl w:ilvl="0">
      <w:lvlJc w:val="left"/>
      <w:lvlText w:val="(%1)"/>
      <w:numFmt w:val="lowerLetter"/>
      <w:start w:val="9"/>
    </w:lvl>
    <w:lvl w:ilvl="1">
      <w:lvlJc w:val="left"/>
      <w:lvlText w:val="%2"/>
      <w:numFmt w:val="lowerLetter"/>
      <w:start w:val="1"/>
    </w:lvl>
  </w:abstractNum>
  <w:abstractNum w:abstractNumId="85">
    <w:nsid w:val="3CA88ECF"/>
    <w:multiLevelType w:val="hybridMultilevel"/>
    <w:lvl w:ilvl="0">
      <w:lvlJc w:val="left"/>
      <w:lvlText w:val="(%1)"/>
      <w:numFmt w:val="lowerRoman"/>
      <w:start w:val="2"/>
    </w:lvl>
  </w:abstractNum>
  <w:abstractNum w:abstractNumId="86">
    <w:nsid w:val="6EBE4208"/>
    <w:multiLevelType w:val="hybridMultilevel"/>
    <w:lvl w:ilvl="0">
      <w:lvlJc w:val="left"/>
      <w:lvlText w:val="(%1)"/>
      <w:numFmt w:val="lowerRoman"/>
      <w:start w:val="4"/>
    </w:lvl>
  </w:abstractNum>
  <w:abstractNum w:abstractNumId="87">
    <w:nsid w:val="C058DF5"/>
    <w:multiLevelType w:val="hybridMultilevel"/>
    <w:lvl w:ilvl="0">
      <w:lvlJc w:val="left"/>
      <w:lvlText w:val="(%1)"/>
      <w:numFmt w:val="lowerLetter"/>
      <w:start w:val="2"/>
    </w:lvl>
  </w:abstractNum>
  <w:abstractNum w:abstractNumId="88">
    <w:nsid w:val="CBE5BE9"/>
    <w:multiLevelType w:val="hybridMultilevel"/>
    <w:lvl w:ilvl="0">
      <w:lvlJc w:val="left"/>
      <w:lvlText w:val="(%1)"/>
      <w:numFmt w:val="lowerLetter"/>
      <w:start w:val="3"/>
    </w:lvl>
  </w:abstractNum>
  <w:abstractNum w:abstractNumId="89">
    <w:nsid w:val="3102BBE2"/>
    <w:multiLevelType w:val="hybridMultilevel"/>
    <w:lvl w:ilvl="0">
      <w:lvlJc w:val="left"/>
      <w:lvlText w:val="%1"/>
      <w:numFmt w:val="lowerRoman"/>
      <w:start w:val="1"/>
    </w:lvl>
    <w:lvl w:ilvl="1">
      <w:lvlJc w:val="left"/>
      <w:lvlText w:val="(%2)"/>
      <w:numFmt w:val="lowerLetter"/>
      <w:start w:val="1"/>
    </w:lvl>
  </w:abstractNum>
  <w:abstractNum w:abstractNumId="90">
    <w:nsid w:val="26A02C5E"/>
    <w:multiLevelType w:val="hybridMultilevel"/>
    <w:lvl w:ilvl="0">
      <w:lvlJc w:val="left"/>
      <w:lvlText w:val="(%1)"/>
      <w:numFmt w:val="lowerRoman"/>
      <w:start w:val="1"/>
    </w:lvl>
    <w:lvl w:ilvl="1">
      <w:lvlJc w:val="left"/>
      <w:lvlText w:val="%2"/>
      <w:numFmt w:val="lowerLetter"/>
      <w:start w:val="1"/>
    </w:lvl>
  </w:abstractNum>
  <w:abstractNum w:abstractNumId="91">
    <w:nsid w:val="541C8153"/>
    <w:multiLevelType w:val="hybridMultilevel"/>
    <w:lvl w:ilvl="0">
      <w:lvlJc w:val="left"/>
      <w:lvlText w:val="(%1)"/>
      <w:numFmt w:val="lowerRoman"/>
      <w:start w:val="4"/>
    </w:lvl>
  </w:abstractNum>
  <w:abstractNum w:abstractNumId="92">
    <w:nsid w:val="67906F60"/>
    <w:multiLevelType w:val="hybridMultilevel"/>
    <w:lvl w:ilvl="0">
      <w:lvlJc w:val="left"/>
      <w:lvlText w:val="(%1)"/>
      <w:numFmt w:val="lowerRoman"/>
      <w:start w:val="11"/>
    </w:lvl>
    <w:lvl w:ilvl="1">
      <w:lvlJc w:val="left"/>
      <w:lvlText w:val="(%2)"/>
      <w:numFmt w:val="lowerLetter"/>
      <w:start w:val="2"/>
    </w:lvl>
  </w:abstractNum>
  <w:abstractNum w:abstractNumId="93">
    <w:nsid w:val="10DB9DAA"/>
    <w:multiLevelType w:val="hybridMultilevel"/>
    <w:lvl w:ilvl="0">
      <w:lvlJc w:val="left"/>
      <w:lvlText w:val="(%1)"/>
      <w:numFmt w:val="lowerRoman"/>
      <w:start w:val="1"/>
    </w:lvl>
  </w:abstractNum>
  <w:abstractNum w:abstractNumId="94">
    <w:nsid w:val="697D2D2"/>
    <w:multiLevelType w:val="hybridMultilevel"/>
    <w:lvl w:ilvl="0">
      <w:lvlJc w:val="left"/>
      <w:lvlText w:val="(%1)"/>
      <w:numFmt w:val="lowerRoman"/>
      <w:start w:val="9"/>
    </w:lvl>
    <w:lvl w:ilvl="1">
      <w:lvlJc w:val="left"/>
      <w:lvlText w:val="(%2)"/>
      <w:numFmt w:val="lowerLetter"/>
      <w:start w:val="3"/>
    </w:lvl>
  </w:abstractNum>
  <w:abstractNum w:abstractNumId="95">
    <w:nsid w:val="6D68AB2"/>
    <w:multiLevelType w:val="hybridMultilevel"/>
    <w:lvl w:ilvl="0">
      <w:lvlJc w:val="left"/>
      <w:lvlText w:val="(%1)"/>
      <w:numFmt w:val="lowerRoman"/>
      <w:start w:val="1"/>
    </w:lvl>
  </w:abstractNum>
  <w:abstractNum w:abstractNumId="96">
    <w:nsid w:val="3A966CD0"/>
    <w:multiLevelType w:val="hybridMultilevel"/>
    <w:lvl w:ilvl="0">
      <w:lvlJc w:val="left"/>
      <w:lvlText w:val="(%1)"/>
      <w:numFmt w:val="lowerRoman"/>
      <w:start w:val="9"/>
    </w:lvl>
    <w:lvl w:ilvl="1">
      <w:lvlJc w:val="left"/>
      <w:lvlText w:val="(%2)"/>
      <w:numFmt w:val="lowerLetter"/>
      <w:start w:val="4"/>
    </w:lvl>
  </w:abstractNum>
  <w:abstractNum w:abstractNumId="97">
    <w:nsid w:val="63F37E85"/>
    <w:multiLevelType w:val="hybridMultilevel"/>
    <w:lvl w:ilvl="0">
      <w:lvlJc w:val="left"/>
      <w:lvlText w:val="(%1)"/>
      <w:numFmt w:val="lowerLetter"/>
      <w:start w:val="61"/>
    </w:lvl>
    <w:lvl w:ilvl="1">
      <w:lvlJc w:val="left"/>
      <w:lvlText w:val="(%2)"/>
      <w:numFmt w:val="lowerLetter"/>
      <w:start w:val="2"/>
    </w:lvl>
  </w:abstractNum>
  <w:abstractNum w:abstractNumId="98">
    <w:nsid w:val="5895F5FA"/>
    <w:multiLevelType w:val="hybridMultilevel"/>
    <w:lvl w:ilvl="0">
      <w:lvlJc w:val="left"/>
      <w:lvlText w:val="%1"/>
      <w:numFmt w:val="lowerRoman"/>
      <w:start w:val="1"/>
    </w:lvl>
    <w:lvl w:ilvl="1">
      <w:lvlJc w:val="left"/>
      <w:lvlText w:val="(%2)"/>
      <w:numFmt w:val="lowerLetter"/>
      <w:start w:val="1"/>
    </w:lvl>
  </w:abstractNum>
  <w:abstractNum w:abstractNumId="99">
    <w:nsid w:val="38A5D054"/>
    <w:multiLevelType w:val="hybridMultilevel"/>
    <w:lvl w:ilvl="0">
      <w:lvlJc w:val="left"/>
      <w:lvlText w:val="(%1)"/>
      <w:numFmt w:val="lowerRoman"/>
      <w:start w:val="4"/>
    </w:lvl>
    <w:lvl w:ilvl="1">
      <w:lvlJc w:val="left"/>
      <w:lvlText w:val="%2"/>
      <w:numFmt w:val="lowerLetter"/>
      <w:start w:val="1"/>
    </w:lvl>
  </w:abstractNum>
  <w:abstractNum w:abstractNumId="100">
    <w:nsid w:val="F3F09D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101">
    <w:nsid w:val="4B793735"/>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102">
    <w:nsid w:val="4A10B4E8"/>
    <w:multiLevelType w:val="hybridMultilevel"/>
    <w:lvl w:ilvl="0">
      <w:lvlJc w:val="left"/>
      <w:lvlText w:val="(%1)"/>
      <w:numFmt w:val="lowerLetter"/>
      <w:start w:val="24"/>
    </w:lvl>
    <w:lvl w:ilvl="1">
      <w:lvlJc w:val="left"/>
      <w:lvlText w:val="(%2)"/>
      <w:numFmt w:val="lowerLetter"/>
      <w:start w:val="35"/>
    </w:lvl>
    <w:lvl w:ilvl="2">
      <w:lvlJc w:val="left"/>
      <w:lvlText w:val="%3"/>
      <w:numFmt w:val="lowerLetter"/>
      <w:start w:val="1"/>
    </w:lvl>
  </w:abstractNum>
  <w:abstractNum w:abstractNumId="103">
    <w:nsid w:val="43D3BCD4"/>
    <w:multiLevelType w:val="hybridMultilevel"/>
    <w:lvl w:ilvl="0">
      <w:lvlJc w:val="left"/>
      <w:lvlText w:val="(%1)"/>
      <w:numFmt w:val="lowerLetter"/>
      <w:start w:val="35"/>
    </w:lvl>
    <w:lvl w:ilvl="1">
      <w:lvlJc w:val="left"/>
      <w:lvlText w:val="(%2)"/>
      <w:numFmt w:val="lowerRoman"/>
    </w:lvl>
    <w:lvl w:ilvl="2">
      <w:lvlJc w:val="left"/>
      <w:lvlText w:val="(%3)"/>
      <w:numFmt w:val="lowerLetter"/>
      <w:start w:val="6"/>
    </w:lvl>
  </w:abstractNum>
  <w:abstractNum w:abstractNumId="104">
    <w:nsid w:val="4C2A7166"/>
    <w:multiLevelType w:val="hybridMultilevel"/>
    <w:lvl w:ilvl="0">
      <w:lvlJc w:val="left"/>
      <w:lvlText w:val="%1"/>
      <w:numFmt w:val="lowerRoman"/>
      <w:start w:val="1"/>
    </w:lvl>
    <w:lvl w:ilvl="1">
      <w:lvlJc w:val="left"/>
      <w:lvlText w:val="(%2)"/>
      <w:numFmt w:val="lowerLetter"/>
      <w:start w:val="7"/>
    </w:lvl>
  </w:abstractNum>
  <w:abstractNum w:abstractNumId="105">
    <w:nsid w:val="2E534A82"/>
    <w:multiLevelType w:val="hybridMultilevel"/>
    <w:lvl w:ilvl="0">
      <w:lvlJc w:val="left"/>
      <w:lvlText w:val="(%1)"/>
      <w:numFmt w:val="lowerRoman"/>
      <w:start w:val="1"/>
    </w:lvl>
    <w:lvl w:ilvl="1">
      <w:lvlJc w:val="left"/>
      <w:lvlText w:val="%2"/>
      <w:numFmt w:val="lowerLetter"/>
      <w:start w:val="1"/>
    </w:lvl>
  </w:abstractNum>
  <w:abstractNum w:abstractNumId="106">
    <w:nsid w:val="26F2D364"/>
    <w:multiLevelType w:val="hybridMultilevel"/>
    <w:lvl w:ilvl="0">
      <w:lvlJc w:val="left"/>
      <w:lvlText w:val="(%1)"/>
      <w:numFmt w:val="lowerRoman"/>
      <w:start w:val="9"/>
    </w:lvl>
    <w:lvl w:ilvl="1">
      <w:lvlJc w:val="left"/>
      <w:lvlText w:val="(%2)"/>
      <w:numFmt w:val="lowerLetter"/>
      <w:start w:val="8"/>
    </w:lvl>
  </w:abstractNum>
  <w:abstractNum w:abstractNumId="107">
    <w:nsid w:val="71C1AF98"/>
    <w:multiLevelType w:val="hybridMultilevel"/>
    <w:lvl w:ilvl="0">
      <w:lvlJc w:val="left"/>
      <w:lvlText w:val="(%1)"/>
      <w:numFmt w:val="lowerRoman"/>
      <w:start w:val="2"/>
    </w:lvl>
  </w:abstractNum>
  <w:abstractNum w:abstractNumId="108">
    <w:nsid w:val="3D00B9D9"/>
    <w:multiLevelType w:val="hybridMultilevel"/>
    <w:lvl w:ilvl="0">
      <w:lvlJc w:val="left"/>
      <w:lvlText w:val="(%1)"/>
      <w:numFmt w:val="lowerLetter"/>
      <w:start w:val="2"/>
    </w:lvl>
  </w:abstractNum>
  <w:abstractNum w:abstractNumId="109">
    <w:nsid w:val="15BCABA8"/>
    <w:multiLevelType w:val="hybridMultilevel"/>
    <w:lvl w:ilvl="0">
      <w:lvlJc w:val="left"/>
      <w:lvlText w:val="(%1)"/>
      <w:numFmt w:val="lowerLetter"/>
      <w:start w:val="3"/>
    </w:lvl>
  </w:abstractNum>
  <w:abstractNum w:abstractNumId="110">
    <w:nsid w:val="4E0B9A87"/>
    <w:multiLevelType w:val="hybridMultilevel"/>
    <w:lvl w:ilvl="0">
      <w:lvlJc w:val="left"/>
      <w:lvlText w:val="(%1)"/>
      <w:numFmt w:val="lowerLetter"/>
      <w:start w:val="2"/>
    </w:lvl>
  </w:abstractNum>
  <w:abstractNum w:abstractNumId="111">
    <w:nsid w:val="434BAE75"/>
    <w:multiLevelType w:val="hybridMultilevel"/>
    <w:lvl w:ilvl="0">
      <w:lvlJc w:val="left"/>
      <w:lvlText w:val="(%1)"/>
      <w:numFmt w:val="lowerLetter"/>
      <w:start w:val="6"/>
    </w:lvl>
  </w:abstractNum>
  <w:abstractNum w:abstractNumId="112">
    <w:nsid w:val="4F38F265"/>
    <w:multiLevelType w:val="hybridMultilevel"/>
    <w:lvl w:ilvl="0">
      <w:lvlJc w:val="left"/>
      <w:lvlText w:val="(%1)"/>
      <w:numFmt w:val="lowerLetter"/>
      <w:start w:val="2"/>
    </w:lvl>
  </w:abstractNum>
  <w:abstractNum w:abstractNumId="113">
    <w:nsid w:val="4C502870"/>
    <w:multiLevelType w:val="hybridMultilevel"/>
    <w:lvl w:ilvl="0">
      <w:lvlJc w:val="left"/>
      <w:lvlText w:val="(%1)"/>
      <w:numFmt w:val="lowerLetter"/>
      <w:start w:val="5"/>
    </w:lvl>
  </w:abstractNum>
  <w:abstractNum w:abstractNumId="114">
    <w:nsid w:val="1DE8725A"/>
    <w:multiLevelType w:val="hybridMultilevel"/>
    <w:lvl w:ilvl="0">
      <w:lvlJc w:val="left"/>
      <w:lvlText w:val="(%1)"/>
      <w:numFmt w:val="lowerLetter"/>
      <w:start w:val="2"/>
    </w:lvl>
  </w:abstractNum>
  <w:abstractNum w:abstractNumId="115">
    <w:nsid w:val="6A37288A"/>
    <w:multiLevelType w:val="hybridMultilevel"/>
    <w:lvl w:ilvl="0">
      <w:lvlJc w:val="left"/>
      <w:lvlText w:val="(%1)"/>
      <w:numFmt w:val="lowerLetter"/>
      <w:start w:val="2"/>
    </w:lvl>
  </w:abstractNum>
  <w:abstractNum w:abstractNumId="116">
    <w:nsid w:val="8F8B73F"/>
    <w:multiLevelType w:val="hybridMultilevel"/>
    <w:lvl w:ilvl="0">
      <w:lvlJc w:val="left"/>
      <w:lvlText w:val="(%1)"/>
      <w:numFmt w:val="lowerLetter"/>
      <w:start w:val="2"/>
    </w:lvl>
  </w:abstractNum>
  <w:abstractNum w:abstractNumId="117">
    <w:nsid w:val="CA6B462"/>
    <w:multiLevelType w:val="hybridMultilevel"/>
    <w:lvl w:ilvl="0">
      <w:lvlJc w:val="left"/>
      <w:lvlText w:val="(%1)"/>
      <w:numFmt w:val="lowerRoman"/>
      <w:start w:val="1"/>
    </w:lvl>
    <w:lvl w:ilvl="1">
      <w:lvlJc w:val="left"/>
      <w:lvlText w:val="(%2)"/>
      <w:numFmt w:val="lowerLetter"/>
      <w:start w:val="2"/>
    </w:lvl>
  </w:abstractNum>
  <w:abstractNum w:abstractNumId="118">
    <w:nsid w:val="763CB680"/>
    <w:multiLevelType w:val="hybridMultilevel"/>
    <w:lvl w:ilvl="0">
      <w:lvlJc w:val="left"/>
      <w:lvlText w:val="(%1)"/>
      <w:numFmt w:val="lowerRoman"/>
      <w:start w:val="1"/>
    </w:lvl>
    <w:lvl w:ilvl="1">
      <w:lvlJc w:val="left"/>
      <w:lvlText w:val="(%2)"/>
      <w:numFmt w:val="lowerLetter"/>
      <w:start w:val="3"/>
    </w:lvl>
  </w:abstractNum>
  <w:abstractNum w:abstractNumId="119">
    <w:nsid w:val="15B71329"/>
    <w:multiLevelType w:val="hybridMultilevel"/>
    <w:lvl w:ilvl="0">
      <w:lvlJc w:val="left"/>
      <w:lvlText w:val="%1"/>
      <w:numFmt w:val="lowerRoman"/>
      <w:start w:val="1"/>
    </w:lvl>
    <w:lvl w:ilvl="1">
      <w:lvlJc w:val="left"/>
      <w:lvlText w:val="(%2)"/>
      <w:numFmt w:val="lowerLetter"/>
      <w:start w:val="1"/>
    </w:lvl>
  </w:abstractNum>
  <w:abstractNum w:abstractNumId="120">
    <w:nsid w:val="3DA97044"/>
    <w:multiLevelType w:val="hybridMultilevel"/>
    <w:lvl w:ilvl="0">
      <w:lvlJc w:val="left"/>
      <w:lvlText w:val="(%1)"/>
      <w:numFmt w:val="lowerRoman"/>
      <w:start w:val="1"/>
    </w:lvl>
    <w:lvl w:ilvl="1">
      <w:lvlJc w:val="left"/>
      <w:lvlText w:val="(%2)"/>
      <w:numFmt w:val="lowerLetter"/>
      <w:start w:val="2"/>
    </w:lvl>
  </w:abstractNum>
  <w:abstractNum w:abstractNumId="121">
    <w:nsid w:val="1CDCE2DE"/>
    <w:multiLevelType w:val="hybridMultilevel"/>
    <w:lvl w:ilvl="0">
      <w:lvlJc w:val="left"/>
      <w:lvlText w:val="(%1)"/>
      <w:numFmt w:val="lowerLetter"/>
      <w:start w:val="1"/>
    </w:lvl>
  </w:abstractNum>
  <w:abstractNum w:abstractNumId="122">
    <w:nsid w:val="69D3947C"/>
    <w:multiLevelType w:val="hybridMultilevel"/>
    <w:lvl w:ilvl="0">
      <w:lvlJc w:val="left"/>
      <w:lvlText w:val="(%1)"/>
      <w:numFmt w:val="lowerLetter"/>
      <w:start w:val="5"/>
    </w:lvl>
  </w:abstractNum>
  <w:abstractNum w:abstractNumId="123">
    <w:nsid w:val="2539DFA5"/>
    <w:multiLevelType w:val="hybridMultilevel"/>
    <w:lvl w:ilvl="0">
      <w:lvlJc w:val="left"/>
      <w:lvlText w:val="(%1)"/>
      <w:numFmt w:val="lowerRoman"/>
      <w:start w:val="1"/>
    </w:lvl>
  </w:abstractNum>
  <w:abstractNum w:abstractNumId="124">
    <w:nsid w:val="2DB88089"/>
    <w:multiLevelType w:val="hybridMultilevel"/>
    <w:lvl w:ilvl="0">
      <w:lvlJc w:val="left"/>
      <w:lvlText w:val="(%1)"/>
      <w:numFmt w:val="lowerRoman"/>
      <w:start w:val="2"/>
    </w:lvl>
  </w:abstractNum>
  <w:abstractNum w:abstractNumId="125">
    <w:nsid w:val="706B674E"/>
    <w:multiLevelType w:val="hybridMultilevel"/>
    <w:lvl w:ilvl="0">
      <w:lvlJc w:val="left"/>
      <w:lvlText w:val="(%1)"/>
      <w:numFmt w:val="lowerRoman"/>
      <w:start w:val="11"/>
    </w:lvl>
    <w:lvl w:ilvl="1">
      <w:lvlJc w:val="left"/>
      <w:lvlText w:val="(%2)"/>
      <w:numFmt w:val="lowerLetter"/>
      <w:start w:val="2"/>
    </w:lvl>
  </w:abstractNum>
  <w:abstractNum w:abstractNumId="126">
    <w:nsid w:val="2C106A57"/>
    <w:multiLevelType w:val="hybridMultilevel"/>
    <w:lvl w:ilvl="0">
      <w:lvlJc w:val="left"/>
      <w:lvlText w:val="%1"/>
      <w:numFmt w:val="lowerRoman"/>
      <w:start w:val="1"/>
    </w:lvl>
    <w:lvl w:ilvl="1">
      <w:lvlJc w:val="left"/>
      <w:lvlText w:val="(%2)"/>
      <w:numFmt w:val="lowerLetter"/>
      <w:start w:val="1"/>
    </w:lvl>
  </w:abstractNum>
  <w:abstractNum w:abstractNumId="127">
    <w:nsid w:val="684EED59"/>
    <w:multiLevelType w:val="hybridMultilevel"/>
    <w:lvl w:ilvl="0">
      <w:lvlJc w:val="left"/>
      <w:lvlText w:val="(%1)"/>
      <w:numFmt w:val="lowerRoman"/>
      <w:start w:val="1"/>
    </w:lvl>
    <w:lvl w:ilvl="1">
      <w:lvlJc w:val="left"/>
      <w:lvlText w:val="%2"/>
      <w:numFmt w:val="lowerLetter"/>
      <w:start w:val="1"/>
    </w:lvl>
  </w:abstractNum>
  <w:abstractNum w:abstractNumId="128">
    <w:nsid w:val="545EE5D3"/>
    <w:multiLevelType w:val="hybridMultilevel"/>
    <w:lvl w:ilvl="0">
      <w:lvlJc w:val="left"/>
      <w:lvlText w:val="(%1)"/>
      <w:numFmt w:val="lowerRoman"/>
      <w:start w:val="4"/>
    </w:lvl>
    <w:lvl w:ilvl="1">
      <w:lvlJc w:val="left"/>
      <w:lvlText w:val="(%2)"/>
      <w:numFmt w:val="lowerLetter"/>
      <w:start w:val="2"/>
    </w:lvl>
  </w:abstractNum>
  <w:abstractNum w:abstractNumId="129">
    <w:nsid w:val="4A66051"/>
    <w:multiLevelType w:val="hybridMultilevel"/>
    <w:lvl w:ilvl="0">
      <w:lvlJc w:val="left"/>
      <w:lvlText w:val="(%1)"/>
      <w:numFmt w:val="lowerLetter"/>
      <w:start w:val="5"/>
    </w:lvl>
  </w:abstractNum>
  <w:abstractNum w:abstractNumId="130">
    <w:nsid w:val="20F4BDAD"/>
    <w:multiLevelType w:val="hybridMultilevel"/>
    <w:lvl w:ilvl="0">
      <w:lvlJc w:val="left"/>
      <w:lvlText w:val="(%1)"/>
      <w:numFmt w:val="lowerLetter"/>
      <w:start w:val="1"/>
    </w:lvl>
  </w:abstractNum>
  <w:abstractNum w:abstractNumId="131">
    <w:nsid w:val="639DEFAC"/>
    <w:multiLevelType w:val="hybridMultilevel"/>
    <w:lvl w:ilvl="0">
      <w:lvlJc w:val="left"/>
      <w:lvlText w:val="%1"/>
      <w:numFmt w:val="lowerLetter"/>
      <w:start w:val="1"/>
    </w:lvl>
    <w:lvl w:ilvl="1">
      <w:lvlJc w:val="left"/>
      <w:lvlText w:val="(%2)"/>
      <w:numFmt w:val="lowerLetter"/>
      <w:start w:val="1"/>
    </w:lvl>
  </w:abstractNum>
  <w:abstractNum w:abstractNumId="132">
    <w:nsid w:val="501F9786"/>
    <w:multiLevelType w:val="hybridMultilevel"/>
    <w:lvl w:ilvl="0">
      <w:lvlJc w:val="left"/>
      <w:lvlText w:val="(%1)"/>
      <w:numFmt w:val="lowerLetter"/>
      <w:start w:val="24"/>
    </w:lvl>
    <w:lvl w:ilvl="1">
      <w:lvlJc w:val="left"/>
      <w:lvlText w:val="(%2)"/>
      <w:numFmt w:val="lowerLetter"/>
      <w:start w:val="3"/>
    </w:lvl>
  </w:abstractNum>
  <w:abstractNum w:abstractNumId="133">
    <w:nsid w:val="6B057295"/>
    <w:multiLevelType w:val="hybridMultilevel"/>
    <w:lvl w:ilvl="0">
      <w:lvlJc w:val="left"/>
      <w:lvlText w:val="(%1)"/>
      <w:numFmt w:val="lowerLetter"/>
      <w:start w:val="5"/>
    </w:lvl>
  </w:abstractNum>
  <w:abstractNum w:abstractNumId="134">
    <w:nsid w:val="2771AC80"/>
    <w:multiLevelType w:val="hybridMultilevel"/>
    <w:lvl w:ilvl="0">
      <w:lvlJc w:val="left"/>
      <w:lvlText w:val="(%1)"/>
      <w:numFmt w:val="lowerLetter"/>
      <w:start w:val="11"/>
    </w:lvl>
  </w:abstractNum>
  <w:abstractNum w:abstractNumId="135">
    <w:nsid w:val="1C4A08EC"/>
    <w:multiLevelType w:val="hybridMultilevel"/>
    <w:lvl w:ilvl="0">
      <w:lvlJc w:val="left"/>
      <w:lvlText w:val="(%1)"/>
      <w:numFmt w:val="lowerLetter"/>
      <w:start w:val="17"/>
    </w:lvl>
  </w:abstractNum>
  <w:abstractNum w:abstractNumId="136">
    <w:nsid w:val="1958BD17"/>
    <w:multiLevelType w:val="hybridMultilevel"/>
    <w:lvl w:ilvl="0">
      <w:lvlJc w:val="left"/>
      <w:lvlText w:val="(%1)"/>
      <w:numFmt w:val="lowerLetter"/>
      <w:start w:val="23"/>
    </w:lvl>
  </w:abstractNum>
  <w:abstractNum w:abstractNumId="137">
    <w:nsid w:val="4E647FE4"/>
    <w:multiLevelType w:val="hybridMultilevel"/>
    <w:lvl w:ilvl="0">
      <w:lvlJc w:val="left"/>
      <w:lvlText w:val="(%1)"/>
      <w:numFmt w:val="lowerLetter"/>
      <w:start w:val="27"/>
    </w:lvl>
  </w:abstractNum>
  <w:abstractNum w:abstractNumId="138">
    <w:nsid w:val="E0BB885"/>
    <w:multiLevelType w:val="hybridMultilevel"/>
    <w:lvl w:ilvl="0">
      <w:lvlJc w:val="left"/>
      <w:lvlText w:val="(%1)"/>
      <w:numFmt w:val="lowerLetter"/>
      <w:start w:val="29"/>
    </w:lvl>
  </w:abstractNum>
  <w:abstractNum w:abstractNumId="139">
    <w:nsid w:val="565976F1"/>
    <w:multiLevelType w:val="hybridMultilevel"/>
    <w:lvl w:ilvl="0">
      <w:lvlJc w:val="left"/>
      <w:lvlText w:val="(%1)"/>
      <w:numFmt w:val="lowerLetter"/>
      <w:start w:val="36"/>
    </w:lvl>
  </w:abstractNum>
  <w:abstractNum w:abstractNumId="140">
    <w:nsid w:val="64212B8C"/>
    <w:multiLevelType w:val="hybridMultilevel"/>
    <w:lvl w:ilvl="0">
      <w:lvlJc w:val="left"/>
      <w:lvlText w:val="(%1)"/>
      <w:numFmt w:val="lowerRoman"/>
      <w:start w:val="2"/>
    </w:lvl>
    <w:lvl w:ilvl="1">
      <w:lvlJc w:val="left"/>
      <w:lvlText w:val="%2."/>
      <w:numFmt w:val="lowerLetter"/>
      <w:start w:val="1"/>
    </w:lvl>
  </w:abstractNum>
  <w:abstractNum w:abstractNumId="141">
    <w:nsid w:val="5C17530C"/>
    <w:multiLevelType w:val="hybridMultilevel"/>
    <w:lvl w:ilvl="0">
      <w:lvlJc w:val="left"/>
      <w:lvlText w:val="(%1)"/>
      <w:numFmt w:val="lowerRoman"/>
      <w:start w:val="6"/>
    </w:lvl>
  </w:abstractNum>
  <w:abstractNum w:abstractNumId="142">
    <w:nsid w:val="19A52566"/>
    <w:multiLevelType w:val="hybridMultilevel"/>
    <w:lvl w:ilvl="0">
      <w:lvlJc w:val="left"/>
      <w:lvlText w:val="(%1)"/>
      <w:numFmt w:val="lowerRoman"/>
      <w:start w:val="14"/>
    </w:lvl>
    <w:lvl w:ilvl="1">
      <w:lvlJc w:val="left"/>
      <w:lvlText w:val="(%2)"/>
      <w:numFmt w:val="lowerLetter"/>
      <w:start w:val="42"/>
    </w:lvl>
  </w:abstractNum>
  <w:abstractNum w:abstractNumId="143">
    <w:nsid w:val="335A1DF1"/>
    <w:multiLevelType w:val="hybridMultilevel"/>
    <w:lvl w:ilvl="0">
      <w:lvlJc w:val="left"/>
      <w:lvlText w:val="(%1)"/>
      <w:numFmt w:val="lowerRoman"/>
      <w:start w:val="2"/>
    </w:lvl>
  </w:abstractNum>
  <w:abstractNum w:abstractNumId="144">
    <w:nsid w:val="28677B7C"/>
    <w:multiLevelType w:val="hybridMultilevel"/>
    <w:lvl w:ilvl="0">
      <w:lvlJc w:val="left"/>
      <w:lvlText w:val="(%1)"/>
      <w:numFmt w:val="lowerRoman"/>
      <w:start w:val="3"/>
    </w:lvl>
    <w:lvl w:ilvl="1">
      <w:lvlJc w:val="left"/>
      <w:lvlText w:val="(%2)"/>
      <w:numFmt w:val="lowerLetter"/>
      <w:start w:val="44"/>
    </w:lvl>
  </w:abstractNum>
  <w:abstractNum w:abstractNumId="145">
    <w:nsid w:val="378D97C0"/>
    <w:multiLevelType w:val="hybridMultilevel"/>
    <w:lvl w:ilvl="0">
      <w:lvlJc w:val="left"/>
      <w:lvlText w:val="(%1)"/>
      <w:numFmt w:val="lowerLetter"/>
      <w:start w:val="1"/>
    </w:lvl>
  </w:abstractNum>
  <w:abstractNum w:abstractNumId="146">
    <w:nsid w:val="1D91467C"/>
    <w:multiLevelType w:val="hybridMultilevel"/>
    <w:lvl w:ilvl="0">
      <w:lvlJc w:val="left"/>
      <w:lvlText w:val="(%1)"/>
      <w:numFmt w:val="lowerLetter"/>
      <w:start w:val="2"/>
    </w:lvl>
  </w:abstractNum>
  <w:abstractNum w:abstractNumId="147">
    <w:nsid w:val="316032BB"/>
    <w:multiLevelType w:val="hybridMultilevel"/>
    <w:lvl w:ilvl="0">
      <w:lvlJc w:val="left"/>
      <w:lvlText w:val="(%1)"/>
      <w:numFmt w:val="lowerLetter"/>
      <w:start w:val="1"/>
    </w:lvl>
  </w:abstractNum>
  <w:abstractNum w:abstractNumId="148">
    <w:nsid w:val="44344C22"/>
    <w:multiLevelType w:val="hybridMultilevel"/>
    <w:lvl w:ilvl="0">
      <w:lvlJc w:val="left"/>
      <w:lvlText w:val="%1"/>
      <w:numFmt w:val="lowerLetter"/>
      <w:start w:val="1"/>
    </w:lvl>
    <w:lvl w:ilvl="1">
      <w:lvlJc w:val="left"/>
      <w:lvlText w:val="(%2)"/>
      <w:numFmt w:val="lowerLetter"/>
      <w:start w:val="3"/>
    </w:lvl>
  </w:abstractNum>
  <w:abstractNum w:abstractNumId="149">
    <w:nsid w:val="13CDFCFC"/>
    <w:multiLevelType w:val="hybridMultilevel"/>
    <w:lvl w:ilvl="0">
      <w:lvlJc w:val="left"/>
      <w:lvlText w:val="(%1)"/>
      <w:numFmt w:val="lowerLetter"/>
      <w:start w:val="24"/>
    </w:lvl>
    <w:lvl w:ilvl="1">
      <w:lvlJc w:val="left"/>
      <w:lvlText w:val="(%2)"/>
      <w:numFmt w:val="lowerLetter"/>
      <w:start w:val="4"/>
    </w:lvl>
  </w:abstractNum>
  <w:abstractNum w:abstractNumId="150">
    <w:nsid w:val="471745E4"/>
    <w:multiLevelType w:val="hybridMultilevel"/>
    <w:lvl w:ilvl="0">
      <w:lvlJc w:val="left"/>
      <w:lvlText w:val="(%1)"/>
      <w:numFmt w:val="lowerLetter"/>
      <w:start w:val="9"/>
    </w:lvl>
  </w:abstractNum>
  <w:abstractNum w:abstractNumId="151">
    <w:nsid w:val="1DDBC66"/>
    <w:multiLevelType w:val="hybridMultilevel"/>
    <w:lvl w:ilvl="0">
      <w:lvlJc w:val="left"/>
      <w:lvlText w:val="(%1)"/>
      <w:numFmt w:val="lowerLetter"/>
      <w:start w:val="15"/>
    </w:lvl>
  </w:abstractNum>
  <w:abstractNum w:abstractNumId="152">
    <w:nsid w:val="30AADFDA"/>
    <w:multiLevelType w:val="hybridMultilevel"/>
    <w:lvl w:ilvl="0">
      <w:lvlJc w:val="left"/>
      <w:lvlText w:val="(%1)"/>
      <w:numFmt w:val="lowerLetter"/>
      <w:start w:val="18"/>
    </w:lvl>
  </w:abstractNum>
  <w:abstractNum w:abstractNumId="153">
    <w:nsid w:val="30EADA61"/>
    <w:multiLevelType w:val="hybridMultilevel"/>
    <w:lvl w:ilvl="0">
      <w:lvlJc w:val="left"/>
      <w:lvlText w:val="%1"/>
      <w:numFmt w:val="lowerRoman"/>
      <w:start w:val="1"/>
    </w:lvl>
    <w:lvl w:ilvl="1">
      <w:lvlJc w:val="left"/>
      <w:lvlText w:val="(%2)"/>
      <w:numFmt w:val="lowerLetter"/>
      <w:start w:val="25"/>
    </w:lvl>
  </w:abstractNum>
  <w:abstractNum w:abstractNumId="154">
    <w:nsid w:val="27179C0B"/>
    <w:multiLevelType w:val="hybridMultilevel"/>
    <w:lvl w:ilvl="0">
      <w:lvlJc w:val="left"/>
      <w:lvlText w:val="(%1)"/>
      <w:numFmt w:val="lowerRoman"/>
      <w:start w:val="2"/>
    </w:lvl>
    <w:lvl w:ilvl="1">
      <w:lvlJc w:val="left"/>
      <w:lvlText w:val="%2"/>
      <w:numFmt w:val="lowerLetter"/>
      <w:start w:val="1"/>
    </w:lvl>
  </w:abstractNum>
  <w:abstractNum w:abstractNumId="155">
    <w:nsid w:val="5E636063"/>
    <w:multiLevelType w:val="hybridMultilevel"/>
    <w:lvl w:ilvl="0">
      <w:lvlJc w:val="left"/>
      <w:lvlText w:val="(%1)"/>
      <w:numFmt w:val="lowerLetter"/>
      <w:start w:val="1"/>
    </w:lvl>
  </w:abstractNum>
  <w:abstractNum w:abstractNumId="156">
    <w:nsid w:val="215641AF"/>
    <w:multiLevelType w:val="hybridMultilevel"/>
    <w:lvl w:ilvl="0">
      <w:lvlJc w:val="left"/>
      <w:lvlText w:val="(%1)"/>
      <w:numFmt w:val="lowerLetter"/>
      <w:start w:val="1"/>
    </w:lvl>
  </w:abstractNum>
  <w:abstractNum w:abstractNumId="157">
    <w:nsid w:val="53280662"/>
    <w:multiLevelType w:val="hybridMultilevel"/>
    <w:lvl w:ilvl="0">
      <w:lvlJc w:val="left"/>
      <w:lvlText w:val="(%1)"/>
      <w:numFmt w:val="lowerLetter"/>
      <w:start w:val="3"/>
    </w:lvl>
  </w:abstractNum>
  <w:abstractNum w:abstractNumId="158">
    <w:nsid w:val="46B24DBC"/>
    <w:multiLevelType w:val="hybridMultilevel"/>
    <w:lvl w:ilvl="0">
      <w:lvlJc w:val="left"/>
      <w:lvlText w:val="%1"/>
      <w:numFmt w:val="lowerLetter"/>
      <w:start w:val="1"/>
    </w:lvl>
    <w:lvl w:ilvl="1">
      <w:lvlJc w:val="left"/>
      <w:lvlText w:val="(%2)"/>
      <w:numFmt w:val="lowerLetter"/>
      <w:start w:val="1"/>
    </w:lvl>
  </w:abstractNum>
  <w:abstractNum w:abstractNumId="159">
    <w:nsid w:val="75B52783"/>
    <w:multiLevelType w:val="hybridMultilevel"/>
    <w:lvl w:ilvl="0">
      <w:lvlJc w:val="left"/>
      <w:lvlText w:val="(%1)"/>
      <w:numFmt w:val="lowerLetter"/>
      <w:start w:val="61"/>
    </w:lvl>
    <w:lvl w:ilvl="1">
      <w:lvlJc w:val="left"/>
      <w:lvlText w:val="%2"/>
      <w:numFmt w:val="lowerLetter"/>
      <w:start w:val="1"/>
    </w:lvl>
  </w:abstractNum>
  <w:abstractNum w:abstractNumId="160">
    <w:nsid w:val="57CE66B4"/>
    <w:multiLevelType w:val="hybridMultilevel"/>
    <w:lvl w:ilvl="0">
      <w:lvlJc w:val="left"/>
      <w:lvlText w:val="(%1)"/>
      <w:numFmt w:val="lowerLetter"/>
      <w:start w:val="22"/>
    </w:lvl>
    <w:lvl w:ilvl="1">
      <w:lvlJc w:val="left"/>
      <w:lvlText w:val="%2"/>
      <w:numFmt w:val="lowerLetter"/>
      <w:start w:val="1"/>
    </w:lvl>
  </w:abstractNum>
  <w:abstractNum w:abstractNumId="161">
    <w:nsid w:val="67A70B69"/>
    <w:multiLevelType w:val="hybridMultilevel"/>
    <w:lvl w:ilvl="0">
      <w:lvlJc w:val="left"/>
      <w:lvlText w:val="%1"/>
      <w:numFmt w:val="lowerRoman"/>
      <w:start w:val="1"/>
    </w:lvl>
    <w:lvl w:ilvl="1">
      <w:lvlJc w:val="left"/>
      <w:lvlText w:val="(%2)"/>
      <w:numFmt w:val="lowerLetter"/>
      <w:start w:val="2"/>
    </w:lvl>
  </w:abstractNum>
  <w:abstractNum w:abstractNumId="162">
    <w:nsid w:val="5953172F"/>
    <w:multiLevelType w:val="hybridMultilevel"/>
    <w:lvl w:ilvl="0">
      <w:lvlJc w:val="left"/>
      <w:lvlText w:val="(%1)"/>
      <w:numFmt w:val="lowerRoman"/>
      <w:start w:val="10"/>
    </w:lvl>
    <w:lvl w:ilvl="1">
      <w:lvlJc w:val="left"/>
      <w:lvlText w:val="%2"/>
      <w:numFmt w:val="lowerLetter"/>
      <w:start w:val="1"/>
    </w:lvl>
  </w:abstractNum>
  <w:abstractNum w:abstractNumId="163">
    <w:nsid w:val="27EDFE3A"/>
    <w:multiLevelType w:val="hybridMultilevel"/>
    <w:lvl w:ilvl="0">
      <w:lvlJc w:val="left"/>
      <w:lvlText w:val="(%1)"/>
      <w:numFmt w:val="lowerRoman"/>
      <w:start w:val="16"/>
    </w:lvl>
    <w:lvl w:ilvl="1">
      <w:lvlJc w:val="left"/>
      <w:lvlText w:val="(%2)"/>
      <w:numFmt w:val="lowerLetter"/>
      <w:start w:val="3"/>
    </w:lvl>
  </w:abstractNum>
  <w:abstractNum w:abstractNumId="164">
    <w:nsid w:val="52AC7DFF"/>
    <w:multiLevelType w:val="hybridMultilevel"/>
    <w:lvl w:ilvl="0">
      <w:lvlJc w:val="left"/>
      <w:lvlText w:val="(%1)"/>
      <w:numFmt w:val="lowerLetter"/>
      <w:start w:val="5"/>
    </w:lvl>
  </w:abstractNum>
  <w:abstractNum w:abstractNumId="165">
    <w:nsid w:val="C4C3AF"/>
    <w:multiLevelType w:val="hybridMultilevel"/>
    <w:lvl w:ilvl="0">
      <w:lvlJc w:val="left"/>
      <w:lvlText w:val="(%1)"/>
      <w:numFmt w:val="lowerLetter"/>
      <w:start w:val="14"/>
    </w:lvl>
  </w:abstractNum>
  <w:abstractNum w:abstractNumId="166">
    <w:nsid w:val="44380727"/>
    <w:multiLevelType w:val="hybridMultilevel"/>
    <w:lvl w:ilvl="0">
      <w:lvlJc w:val="left"/>
      <w:lvlText w:val="(%1)"/>
      <w:numFmt w:val="lowerLetter"/>
      <w:start w:val="19"/>
    </w:lvl>
  </w:abstractNum>
  <w:abstractNum w:abstractNumId="167">
    <w:nsid w:val="6C053B16"/>
    <w:multiLevelType w:val="hybridMultilevel"/>
    <w:lvl w:ilvl="0">
      <w:lvlJc w:val="left"/>
      <w:lvlText w:val="(%1)"/>
      <w:numFmt w:val="lowerLetter"/>
      <w:start w:val="24"/>
    </w:lvl>
  </w:abstractNum>
  <w:abstractNum w:abstractNumId="168">
    <w:nsid w:val="4F294393"/>
    <w:multiLevelType w:val="hybridMultilevel"/>
    <w:lvl w:ilvl="0">
      <w:lvlJc w:val="left"/>
      <w:lvlText w:val="(%1)"/>
      <w:numFmt w:val="lowerLetter"/>
      <w:start w:val="27"/>
    </w:lvl>
  </w:abstractNum>
  <w:abstractNum w:abstractNumId="169">
    <w:nsid w:val="5243BFAC"/>
    <w:multiLevelType w:val="hybridMultilevel"/>
    <w:lvl w:ilvl="0">
      <w:lvlJc w:val="left"/>
      <w:lvlText w:val="%1"/>
      <w:numFmt w:val="lowerRoman"/>
      <w:start w:val="1"/>
    </w:lvl>
    <w:lvl w:ilvl="1">
      <w:lvlJc w:val="left"/>
      <w:lvlText w:val="(%2)"/>
      <w:numFmt w:val="lowerLetter"/>
      <w:start w:val="29"/>
    </w:lvl>
  </w:abstractNum>
  <w:abstractNum w:abstractNumId="170">
    <w:nsid w:val="425EB207"/>
    <w:multiLevelType w:val="hybridMultilevel"/>
    <w:lvl w:ilvl="0">
      <w:lvlJc w:val="left"/>
      <w:lvlText w:val="(%1)"/>
      <w:numFmt w:val="lowerRoman"/>
      <w:start w:val="1"/>
    </w:lvl>
    <w:lvl w:ilvl="1">
      <w:lvlJc w:val="left"/>
      <w:lvlText w:val="(%2)"/>
      <w:numFmt w:val="lowerLetter"/>
      <w:start w:val="33"/>
    </w:lvl>
  </w:abstractNum>
  <w:abstractNum w:abstractNumId="171">
    <w:nsid w:val="334A6F1F"/>
    <w:multiLevelType w:val="hybridMultilevel"/>
    <w:lvl w:ilvl="0">
      <w:lvlJc w:val="left"/>
      <w:lvlText w:val="(%1)"/>
      <w:numFmt w:val="lowerLetter"/>
      <w:start w:val="34"/>
    </w:lvl>
  </w:abstractNum>
  <w:abstractNum w:abstractNumId="172">
    <w:nsid w:val="2E5B12B8"/>
    <w:multiLevelType w:val="hybridMultilevel"/>
    <w:lvl w:ilvl="0">
      <w:lvlJc w:val="left"/>
      <w:lvlText w:val="(%1)"/>
      <w:numFmt w:val="lowerLetter"/>
      <w:start w:val="1"/>
    </w:lvl>
  </w:abstractNum>
  <w:abstractNum w:abstractNumId="173">
    <w:nsid w:val="5C03D76D"/>
    <w:multiLevelType w:val="hybridMultilevel"/>
    <w:lvl w:ilvl="0">
      <w:lvlJc w:val="left"/>
      <w:lvlText w:val="(%1)"/>
      <w:numFmt w:val="lowerLetter"/>
      <w:start w:val="7"/>
    </w:lvl>
  </w:abstractNum>
  <w:abstractNum w:abstractNumId="174">
    <w:nsid w:val="66A48D11"/>
    <w:multiLevelType w:val="hybridMultilevel"/>
    <w:lvl w:ilvl="0">
      <w:lvlJc w:val="left"/>
      <w:lvlText w:val="(%1)"/>
      <w:numFmt w:val="lowerLetter"/>
      <w:start w:val="15"/>
    </w:lvl>
  </w:abstractNum>
  <w:abstractNum w:abstractNumId="175">
    <w:nsid w:val="56C28E34"/>
    <w:multiLevelType w:val="hybridMultilevel"/>
    <w:lvl w:ilvl="0">
      <w:lvlJc w:val="left"/>
      <w:lvlText w:val="(%1)"/>
      <w:numFmt w:val="lowerLetter"/>
      <w:start w:val="1"/>
    </w:lvl>
  </w:abstractNum>
  <w:abstractNum w:abstractNumId="176">
    <w:nsid w:val="13916F2D"/>
    <w:multiLevelType w:val="hybridMultilevel"/>
    <w:lvl w:ilvl="0">
      <w:lvlJc w:val="left"/>
      <w:lvlText w:val="%1"/>
      <w:numFmt w:val="lowerRoman"/>
      <w:start w:val="1"/>
    </w:lvl>
    <w:lvl w:ilvl="1">
      <w:lvlJc w:val="left"/>
      <w:lvlText w:val="(%2)"/>
      <w:numFmt w:val="lowerLetter"/>
      <w:start w:val="2"/>
    </w:lvl>
  </w:abstractNum>
  <w:abstractNum w:abstractNumId="177">
    <w:nsid w:val="435D38D"/>
    <w:multiLevelType w:val="hybridMultilevel"/>
    <w:lvl w:ilvl="0">
      <w:lvlJc w:val="left"/>
      <w:lvlText w:val="(%1)"/>
      <w:numFmt w:val="lowerRoman"/>
      <w:start w:val="2"/>
    </w:lvl>
    <w:lvl w:ilvl="1">
      <w:lvlJc w:val="left"/>
      <w:lvlText w:val="%2"/>
      <w:numFmt w:val="lowerLetter"/>
      <w:start w:val="1"/>
    </w:lvl>
  </w:abstractNum>
  <w:abstractNum w:abstractNumId="178">
    <w:nsid w:val="822C0EF"/>
    <w:multiLevelType w:val="hybridMultilevel"/>
    <w:lvl w:ilvl="0">
      <w:lvlJc w:val="left"/>
      <w:lvlText w:val="(%1)"/>
      <w:numFmt w:val="lowerLetter"/>
      <w:start w:val="5"/>
    </w:lvl>
  </w:abstractNum>
  <w:abstractNum w:abstractNumId="179">
    <w:nsid w:val="57C5BB4F"/>
    <w:multiLevelType w:val="hybridMultilevel"/>
    <w:lvl w:ilvl="0">
      <w:lvlJc w:val="left"/>
      <w:lvlText w:val="%1"/>
      <w:numFmt w:val="lowerLetter"/>
      <w:start w:val="1"/>
    </w:lvl>
    <w:lvl w:ilvl="1">
      <w:lvlJc w:val="left"/>
      <w:lvlText w:val="(%2)"/>
      <w:numFmt w:val="lowerLetter"/>
      <w:start w:val="12"/>
    </w:lvl>
  </w:abstractNum>
  <w:abstractNum w:abstractNumId="180">
    <w:nsid w:val="1803D089"/>
    <w:multiLevelType w:val="hybridMultilevel"/>
    <w:lvl w:ilvl="0">
      <w:lvlJc w:val="left"/>
      <w:lvlText w:val="(%1)"/>
      <w:numFmt w:val="lowerLetter"/>
      <w:start w:val="35"/>
    </w:lvl>
    <w:lvl w:ilvl="1">
      <w:lvlJc w:val="left"/>
      <w:lvlText w:val="(%2)"/>
      <w:numFmt w:val="lowerLetter"/>
      <w:start w:val="14"/>
    </w:lvl>
  </w:abstractNum>
  <w:abstractNum w:abstractNumId="181">
    <w:nsid w:val="4F3A06D4"/>
    <w:multiLevelType w:val="hybridMultilevel"/>
    <w:lvl w:ilvl="0">
      <w:lvlJc w:val="left"/>
      <w:lvlText w:val="(%1)"/>
      <w:numFmt w:val="lowerLetter"/>
      <w:start w:val="17"/>
    </w:lvl>
  </w:abstractNum>
  <w:abstractNum w:abstractNumId="182">
    <w:nsid w:val="59A377B6"/>
    <w:multiLevelType w:val="hybridMultilevel"/>
    <w:lvl w:ilvl="0">
      <w:lvlJc w:val="left"/>
      <w:lvlText w:val="(%1)"/>
      <w:numFmt w:val="lowerLetter"/>
      <w:start w:val="22"/>
    </w:lvl>
  </w:abstractNum>
  <w:abstractNum w:abstractNumId="183">
    <w:nsid w:val="48AEB063"/>
    <w:multiLevelType w:val="hybridMultilevel"/>
    <w:lvl w:ilvl="0">
      <w:lvlJc w:val="left"/>
      <w:lvlText w:val="(%1)"/>
      <w:numFmt w:val="lowerLetter"/>
      <w:start w:val="1"/>
    </w:lvl>
  </w:abstractNum>
  <w:abstractNum w:abstractNumId="184">
    <w:nsid w:val="24E135"/>
    <w:multiLevelType w:val="hybridMultilevel"/>
    <w:lvl w:ilvl="0">
      <w:lvlJc w:val="left"/>
      <w:lvlText w:val="(%1)"/>
      <w:numFmt w:val="lowerRoman"/>
      <w:start w:val="1"/>
    </w:lvl>
    <w:lvl w:ilvl="1">
      <w:lvlJc w:val="left"/>
      <w:lvlText w:val="(%2)"/>
      <w:numFmt w:val="lowerLetter"/>
      <w:start w:val="2"/>
    </w:lvl>
  </w:abstractNum>
  <w:abstractNum w:abstractNumId="185">
    <w:nsid w:val="BB13C1"/>
    <w:multiLevelType w:val="hybridMultilevel"/>
    <w:lvl w:ilvl="0">
      <w:lvlJc w:val="left"/>
      <w:lvlText w:val="(%1)"/>
      <w:numFmt w:val="lowerLetter"/>
      <w:start w:val="5"/>
    </w:lvl>
  </w:abstractNum>
  <w:abstractNum w:abstractNumId="186">
    <w:nsid w:val="271210C7"/>
    <w:multiLevelType w:val="hybridMultilevel"/>
    <w:lvl w:ilvl="0">
      <w:lvlJc w:val="left"/>
      <w:lvlText w:val="(%1)"/>
      <w:numFmt w:val="lowerLetter"/>
      <w:start w:val="1"/>
    </w:lvl>
  </w:abstractNum>
  <w:abstractNum w:abstractNumId="187">
    <w:nsid w:val="217B22E4"/>
    <w:multiLevelType w:val="hybridMultilevel"/>
    <w:lvl w:ilvl="0">
      <w:lvlJc w:val="left"/>
      <w:lvlText w:val="(%1)"/>
      <w:numFmt w:val="lowerLetter"/>
      <w:start w:val="1"/>
    </w:lvl>
  </w:abstractNum>
  <w:abstractNum w:abstractNumId="188">
    <w:nsid w:val="53E31A24"/>
    <w:multiLevelType w:val="hybridMultilevel"/>
    <w:lvl w:ilvl="0">
      <w:lvlJc w:val="left"/>
      <w:lvlText w:val="(%1)"/>
      <w:numFmt w:val="lowerLetter"/>
      <w:start w:val="1"/>
    </w:lvl>
  </w:abstractNum>
  <w:abstractNum w:abstractNumId="189">
    <w:nsid w:val="6DC45E83"/>
    <w:multiLevelType w:val="hybridMultilevel"/>
    <w:lvl w:ilvl="0">
      <w:lvlJc w:val="left"/>
      <w:lvlText w:val="(%1)"/>
      <w:numFmt w:val="lowerLetter"/>
      <w:start w:val="2"/>
    </w:lvl>
  </w:abstractNum>
  <w:abstractNum w:abstractNumId="190">
    <w:nsid w:val="17304A67"/>
    <w:multiLevelType w:val="hybridMultilevel"/>
    <w:lvl w:ilvl="0">
      <w:lvlJc w:val="left"/>
      <w:lvlText w:val="(%1)"/>
      <w:numFmt w:val="lowerLetter"/>
      <w:start w:val="1"/>
    </w:lvl>
  </w:abstractNum>
  <w:abstractNum w:abstractNumId="191">
    <w:nsid w:val="2BB180D8"/>
    <w:multiLevelType w:val="hybridMultilevel"/>
    <w:lvl w:ilvl="0">
      <w:lvlJc w:val="left"/>
      <w:lvlText w:val="(%1)"/>
      <w:numFmt w:val="lowerLetter"/>
      <w:start w:val="1"/>
    </w:lvl>
  </w:abstractNum>
  <w:abstractNum w:abstractNumId="192">
    <w:nsid w:val="556B69ED"/>
    <w:multiLevelType w:val="hybridMultilevel"/>
    <w:lvl w:ilvl="0">
      <w:lvlJc w:val="left"/>
      <w:lvlText w:val="(%1)"/>
      <w:numFmt w:val="lowerLetter"/>
      <w:start w:val="3"/>
    </w:lvl>
  </w:abstractNum>
  <w:abstractNum w:abstractNumId="193">
    <w:nsid w:val="70836196"/>
    <w:multiLevelType w:val="hybridMultilevel"/>
    <w:lvl w:ilvl="0">
      <w:lvlJc w:val="left"/>
      <w:lvlText w:val="%1"/>
      <w:numFmt w:val="lowerRoman"/>
      <w:start w:val="1"/>
    </w:lvl>
    <w:lvl w:ilvl="1">
      <w:lvlJc w:val="left"/>
      <w:lvlText w:val="(%2)"/>
      <w:numFmt w:val="lowerLetter"/>
      <w:start w:val="5"/>
    </w:lvl>
  </w:abstractNum>
  <w:abstractNum w:abstractNumId="194">
    <w:nsid w:val="539F7F12"/>
    <w:multiLevelType w:val="hybridMultilevel"/>
    <w:lvl w:ilvl="0">
      <w:lvlJc w:val="left"/>
      <w:lvlText w:val="(%1)"/>
      <w:numFmt w:val="lowerRoman"/>
      <w:start w:val="1"/>
    </w:lvl>
    <w:lvl w:ilvl="1">
      <w:lvlJc w:val="left"/>
      <w:lvlText w:val="%2"/>
      <w:numFmt w:val="lowerLetter"/>
      <w:start w:val="1"/>
    </w:lvl>
  </w:abstractNum>
  <w:abstractNum w:abstractNumId="195">
    <w:nsid w:val="2817E7EC"/>
    <w:multiLevelType w:val="hybridMultilevel"/>
    <w:lvl w:ilvl="0">
      <w:lvlJc w:val="left"/>
      <w:lvlText w:val="(%1)"/>
      <w:numFmt w:val="lowerLetter"/>
      <w:start w:val="1"/>
    </w:lvl>
  </w:abstractNum>
  <w:abstractNum w:abstractNumId="196">
    <w:nsid w:val="71482545"/>
    <w:multiLevelType w:val="hybridMultilevel"/>
    <w:lvl w:ilvl="0">
      <w:lvlJc w:val="left"/>
      <w:lvlText w:val="(%1)"/>
      <w:numFmt w:val="lowerRoman"/>
      <w:start w:val="1"/>
    </w:lvl>
  </w:abstractNum>
  <w:abstractNum w:abstractNumId="197">
    <w:nsid w:val="17D78639"/>
    <w:multiLevelType w:val="hybridMultilevel"/>
    <w:lvl w:ilvl="0">
      <w:lvlJc w:val="left"/>
      <w:lvlText w:val="(%1)"/>
      <w:numFmt w:val="lowerRoman"/>
      <w:start w:val="10"/>
    </w:lvl>
  </w:abstractNum>
  <w:abstractNum w:abstractNumId="198">
    <w:nsid w:val="141D2302"/>
    <w:multiLevelType w:val="hybridMultilevel"/>
    <w:lvl w:ilvl="0">
      <w:lvlJc w:val="left"/>
      <w:lvlText w:val="(%1)"/>
      <w:numFmt w:val="lowerLetter"/>
      <w:start w:val="2"/>
    </w:lvl>
  </w:abstractNum>
  <w:abstractNum w:abstractNumId="199">
    <w:nsid w:val="407168D8"/>
    <w:multiLevelType w:val="hybridMultilevel"/>
    <w:lvl w:ilvl="0">
      <w:lvlJc w:val="left"/>
      <w:lvlText w:val="(%1)"/>
      <w:numFmt w:val="lowerLetter"/>
      <w:start w:val="3"/>
    </w:lvl>
  </w:abstractNum>
  <w:abstractNum w:abstractNumId="200">
    <w:nsid w:val="6A1B45E5"/>
    <w:multiLevelType w:val="hybridMultilevel"/>
    <w:lvl w:ilvl="0">
      <w:lvlJc w:val="left"/>
      <w:lvlText w:val="(%1)"/>
      <w:numFmt w:val="lowerLetter"/>
      <w:start w:val="2"/>
    </w:lvl>
  </w:abstractNum>
  <w:abstractNum w:abstractNumId="201">
    <w:nsid w:val="567BD50A"/>
    <w:multiLevelType w:val="hybridMultilevel"/>
    <w:lvl w:ilvl="0">
      <w:lvlJc w:val="left"/>
      <w:lvlText w:val="(%1)"/>
      <w:numFmt w:val="lowerLetter"/>
      <w:start w:val="1"/>
    </w:lvl>
  </w:abstractNum>
  <w:abstractNum w:abstractNumId="202">
    <w:nsid w:val="73BBD7F8"/>
    <w:multiLevelType w:val="hybridMultilevel"/>
    <w:lvl w:ilvl="0">
      <w:lvlJc w:val="left"/>
      <w:lvlText w:val="(%1)"/>
      <w:numFmt w:val="lowerLetter"/>
      <w:start w:val="6"/>
    </w:lvl>
  </w:abstractNum>
  <w:abstractNum w:abstractNumId="203">
    <w:nsid w:val="1876589D"/>
    <w:multiLevelType w:val="hybridMultilevel"/>
    <w:lvl w:ilvl="0">
      <w:lvlJc w:val="left"/>
      <w:lvlText w:val="(%1)"/>
      <w:numFmt w:val="lowerRoman"/>
      <w:start w:val="1"/>
    </w:lvl>
  </w:abstractNum>
  <w:abstractNum w:abstractNumId="204">
    <w:nsid w:val="327FAC77"/>
    <w:multiLevelType w:val="hybridMultilevel"/>
    <w:lvl w:ilvl="0">
      <w:lvlJc w:val="left"/>
      <w:lvlText w:val="%1"/>
      <w:numFmt w:val="lowerLetter"/>
      <w:start w:val="1"/>
    </w:lvl>
    <w:lvl w:ilvl="1">
      <w:lvlJc w:val="left"/>
      <w:lvlText w:val="(%2)"/>
      <w:numFmt w:val="lowerLetter"/>
      <w:start w:val="1"/>
    </w:lvl>
  </w:abstractNum>
  <w:abstractNum w:abstractNumId="205">
    <w:nsid w:val="5A606509"/>
    <w:multiLevelType w:val="hybridMultilevel"/>
    <w:lvl w:ilvl="0">
      <w:lvlJc w:val="left"/>
      <w:lvlText w:val="(%1)"/>
      <w:numFmt w:val="lowerLetter"/>
      <w:start w:val="35"/>
    </w:lvl>
    <w:lvl w:ilvl="1">
      <w:lvlJc w:val="left"/>
      <w:lvlText w:val="%2"/>
      <w:numFmt w:val="lowerLetter"/>
      <w:start w:val="1"/>
    </w:lvl>
  </w:abstractNum>
  <w:abstractNum w:abstractNumId="206">
    <w:nsid w:val="6F38E6D1"/>
    <w:multiLevelType w:val="hybridMultilevel"/>
    <w:lvl w:ilvl="0">
      <w:lvlJc w:val="left"/>
      <w:lvlText w:val="(%1)"/>
      <w:numFmt w:val="lowerLetter"/>
      <w:start w:val="3"/>
    </w:lvl>
  </w:abstractNum>
  <w:abstractNum w:abstractNumId="207">
    <w:nsid w:val="46111BA5"/>
    <w:multiLevelType w:val="hybridMultilevel"/>
    <w:lvl w:ilvl="0">
      <w:lvlJc w:val="left"/>
      <w:lvlText w:val="(%1)"/>
      <w:numFmt w:val="lowerLetter"/>
      <w:start w:val="7"/>
    </w:lvl>
  </w:abstractNum>
  <w:abstractNum w:abstractNumId="208">
    <w:nsid w:val="5E963896"/>
    <w:multiLevelType w:val="hybridMultilevel"/>
    <w:lvl w:ilvl="0">
      <w:lvlJc w:val="left"/>
      <w:lvlText w:val="(%1)"/>
      <w:numFmt w:val="lowerLetter"/>
      <w:start w:val="1"/>
    </w:lvl>
  </w:abstractNum>
  <w:abstractNum w:abstractNumId="209">
    <w:nsid w:val="775BA7C1"/>
    <w:multiLevelType w:val="hybridMultilevel"/>
    <w:lvl w:ilvl="0">
      <w:lvlJc w:val="left"/>
      <w:lvlText w:val="%1"/>
      <w:numFmt w:val="lowerRoman"/>
      <w:start w:val="1"/>
    </w:lvl>
    <w:lvl w:ilvl="1">
      <w:lvlJc w:val="left"/>
      <w:lvlText w:val="(%2)"/>
      <w:numFmt w:val="lowerLetter"/>
      <w:start w:val="1"/>
    </w:lvl>
  </w:abstractNum>
  <w:abstractNum w:abstractNumId="210">
    <w:nsid w:val="1DD6D6F4"/>
    <w:multiLevelType w:val="hybridMultilevel"/>
    <w:lvl w:ilvl="0">
      <w:lvlJc w:val="left"/>
      <w:lvlText w:val="(%1)"/>
      <w:numFmt w:val="lowerRoman"/>
      <w:start w:val="1"/>
    </w:lvl>
    <w:lvl w:ilvl="1">
      <w:lvlJc w:val="left"/>
      <w:lvlText w:val="%2"/>
      <w:numFmt w:val="lowerLetter"/>
      <w:start w:val="1"/>
    </w:lvl>
  </w:abstractNum>
  <w:abstractNum w:abstractNumId="211">
    <w:nsid w:val="769A091F"/>
    <w:multiLevelType w:val="hybridMultilevel"/>
    <w:lvl w:ilvl="0">
      <w:lvlJc w:val="left"/>
      <w:lvlText w:val="(%1)"/>
      <w:numFmt w:val="lowerRoman"/>
      <w:start w:val="4"/>
    </w:lvl>
    <w:lvl w:ilvl="1">
      <w:lvlJc w:val="left"/>
      <w:lvlText w:val="(%2)"/>
      <w:numFmt w:val="lowerLetter"/>
      <w:start w:val="3"/>
    </w:lvl>
  </w:abstractNum>
  <w:abstractNum w:abstractNumId="212">
    <w:nsid w:val="4695AE95"/>
    <w:multiLevelType w:val="hybridMultilevel"/>
    <w:lvl w:ilvl="0">
      <w:lvlJc w:val="left"/>
      <w:lvlText w:val="(%1)"/>
      <w:numFmt w:val="lowerLetter"/>
      <w:start w:val="2"/>
    </w:lvl>
  </w:abstractNum>
  <w:abstractNum w:abstractNumId="213">
    <w:nsid w:val="777A4EAA"/>
    <w:multiLevelType w:val="hybridMultilevel"/>
    <w:lvl w:ilvl="0">
      <w:lvlJc w:val="left"/>
      <w:lvlText w:val="(%1)"/>
      <w:numFmt w:val="lowerRoman"/>
      <w:start w:val="1"/>
    </w:lvl>
  </w:abstractNum>
  <w:abstractNum w:abstractNumId="214">
    <w:nsid w:val="3F48B982"/>
    <w:multiLevelType w:val="hybridMultilevel"/>
    <w:lvl w:ilvl="0">
      <w:lvlJc w:val="left"/>
      <w:lvlText w:val="%1"/>
      <w:numFmt w:val="lowerRoman"/>
      <w:start w:val="1"/>
    </w:lvl>
    <w:lvl w:ilvl="1">
      <w:lvlJc w:val="left"/>
      <w:lvlText w:val="(%2)"/>
      <w:numFmt w:val="lowerLetter"/>
      <w:start w:val="2"/>
    </w:lvl>
  </w:abstractNum>
  <w:abstractNum w:abstractNumId="215">
    <w:nsid w:val="46BA8FCA"/>
    <w:multiLevelType w:val="hybridMultilevel"/>
    <w:lvl w:ilvl="0">
      <w:lvlJc w:val="left"/>
      <w:lvlText w:val="(%1)"/>
      <w:numFmt w:val="lowerRoman"/>
      <w:start w:val="4"/>
    </w:lvl>
    <w:lvl w:ilvl="1">
      <w:lvlJc w:val="left"/>
      <w:lvlText w:val="%2"/>
      <w:numFmt w:val="lowerLetter"/>
      <w:start w:val="1"/>
    </w:lvl>
  </w:abstractNum>
  <w:abstractNum w:abstractNumId="216">
    <w:nsid w:val="7835626C"/>
    <w:multiLevelType w:val="hybridMultilevel"/>
    <w:lvl w:ilvl="0">
      <w:lvlJc w:val="left"/>
      <w:lvlText w:val="%1"/>
      <w:numFmt w:val="lowerRoman"/>
      <w:start w:val="1"/>
    </w:lvl>
    <w:lvl w:ilvl="1">
      <w:lvlJc w:val="left"/>
      <w:lvlText w:val="(%2)"/>
      <w:numFmt w:val="lowerLetter"/>
      <w:start w:val="1"/>
    </w:lvl>
  </w:abstractNum>
  <w:abstractNum w:abstractNumId="217">
    <w:nsid w:val="665ACA49"/>
    <w:multiLevelType w:val="hybridMultilevel"/>
    <w:lvl w:ilvl="0">
      <w:lvlJc w:val="left"/>
      <w:lvlText w:val="(%1)"/>
      <w:numFmt w:val="lowerRoman"/>
      <w:start w:val="1"/>
    </w:lvl>
    <w:lvl w:ilvl="1">
      <w:lvlJc w:val="left"/>
      <w:lvlText w:val="(%2)"/>
      <w:numFmt w:val="lowerLetter"/>
      <w:start w:val="2"/>
    </w:lvl>
  </w:abstractNum>
  <w:abstractNum w:abstractNumId="218">
    <w:nsid w:val="6835B2AE"/>
    <w:multiLevelType w:val="hybridMultilevel"/>
    <w:lvl w:ilvl="0">
      <w:lvlJc w:val="left"/>
      <w:lvlText w:val="%1"/>
      <w:numFmt w:val="decimal"/>
      <w:start w:val="1"/>
    </w:lvl>
    <w:lvl w:ilvl="1">
      <w:lvlJc w:val="left"/>
      <w:lvlText w:val="(%2)"/>
      <w:numFmt w:val="lowerLetter"/>
      <w:start w:val="4"/>
    </w:lvl>
  </w:abstractNum>
  <w:abstractNum w:abstractNumId="219">
    <w:nsid w:val="4C187C90"/>
    <w:multiLevelType w:val="hybridMultilevel"/>
    <w:lvl w:ilvl="0">
      <w:lvlJc w:val="left"/>
      <w:lvlText w:val="(%1)"/>
      <w:numFmt w:val="decimal"/>
      <w:start w:val="2"/>
    </w:lvl>
    <w:lvl w:ilvl="1">
      <w:lvlJc w:val="left"/>
      <w:lvlText w:val="(%2)"/>
      <w:numFmt w:val="lowerLetter"/>
      <w:start w:val="9"/>
    </w:lvl>
  </w:abstractNum>
  <w:abstractNum w:abstractNumId="220">
    <w:nsid w:val="541F28CD"/>
    <w:multiLevelType w:val="hybridMultilevel"/>
    <w:lvl w:ilvl="0">
      <w:lvlJc w:val="left"/>
      <w:lvlText w:val="(%1)"/>
      <w:numFmt w:val="lowerLetter"/>
      <w:start w:val="10"/>
    </w:lvl>
  </w:abstractNum>
  <w:abstractNum w:abstractNumId="221">
    <w:nsid w:val="7F65FD16"/>
    <w:multiLevelType w:val="hybridMultilevel"/>
    <w:lvl w:ilvl="0">
      <w:lvlJc w:val="left"/>
      <w:lvlText w:val="(%1)"/>
      <w:numFmt w:val="lowerLetter"/>
      <w:start w:val="18"/>
    </w:lvl>
  </w:abstractNum>
  <w:abstractNum w:abstractNumId="222">
    <w:nsid w:val="77C9FD68"/>
    <w:multiLevelType w:val="hybridMultilevel"/>
    <w:lvl w:ilvl="0">
      <w:lvlJc w:val="left"/>
      <w:lvlText w:val="(%1)"/>
      <w:numFmt w:val="lowerLetter"/>
      <w:start w:val="2"/>
    </w:lvl>
  </w:abstractNum>
  <w:abstractNum w:abstractNumId="223">
    <w:nsid w:val="298A92BA"/>
    <w:multiLevelType w:val="hybridMultilevel"/>
    <w:lvl w:ilvl="0">
      <w:lvlJc w:val="left"/>
      <w:lvlText w:val="(%1)"/>
      <w:numFmt w:val="lowerLetter"/>
      <w:start w:val="5"/>
    </w:lvl>
  </w:abstractNum>
  <w:abstractNum w:abstractNumId="224">
    <w:nsid w:val="6FE95EAC"/>
    <w:multiLevelType w:val="hybridMultilevel"/>
    <w:lvl w:ilvl="0">
      <w:lvlJc w:val="left"/>
      <w:lvlText w:val="(%1)"/>
      <w:numFmt w:val="decimal"/>
      <w:start w:val="2"/>
    </w:lvl>
  </w:abstractNum>
  <w:abstractNum w:abstractNumId="225">
    <w:nsid w:val="4B697C7A"/>
    <w:multiLevelType w:val="hybridMultilevel"/>
    <w:lvl w:ilvl="0">
      <w:lvlJc w:val="left"/>
      <w:lvlText w:val="(%1)"/>
      <w:numFmt w:val="lowerRoman"/>
      <w:start w:val="1"/>
    </w:lvl>
  </w:abstractNum>
  <w:abstractNum w:abstractNumId="226">
    <w:nsid w:val="51A27AA6"/>
    <w:multiLevelType w:val="hybridMultilevel"/>
    <w:lvl w:ilvl="0">
      <w:lvlJc w:val="left"/>
      <w:lvlText w:val="(%1)"/>
      <w:numFmt w:val="lowerLetter"/>
      <w:start w:val="61"/>
    </w:lvl>
    <w:lvl w:ilvl="1">
      <w:lvlJc w:val="left"/>
      <w:lvlText w:val="(%2)"/>
      <w:numFmt w:val="lowerLetter"/>
      <w:start w:val="2"/>
    </w:lvl>
  </w:abstractNum>
  <w:abstractNum w:abstractNumId="227">
    <w:nsid w:val="613183F2"/>
    <w:multiLevelType w:val="hybridMultilevel"/>
    <w:lvl w:ilvl="0">
      <w:lvlJc w:val="left"/>
      <w:lvlText w:val="(%1)"/>
      <w:numFmt w:val="lowerRoman"/>
      <w:start w:val="1"/>
    </w:lvl>
  </w:abstractNum>
  <w:abstractNum w:abstractNumId="228">
    <w:nsid w:val="634102B4"/>
    <w:multiLevelType w:val="hybridMultilevel"/>
    <w:lvl w:ilvl="0">
      <w:lvlJc w:val="left"/>
      <w:lvlText w:val="(%1)"/>
      <w:numFmt w:val="lowerRoman"/>
      <w:start w:val="3"/>
    </w:lvl>
  </w:abstractNum>
  <w:abstractNum w:abstractNumId="229">
    <w:nsid w:val="65BF9DA8"/>
    <w:multiLevelType w:val="hybridMultilevel"/>
    <w:lvl w:ilvl="0">
      <w:lvlJc w:val="left"/>
      <w:lvlText w:val="(%1)"/>
      <w:numFmt w:val="lowerRoman"/>
      <w:start w:val="11"/>
    </w:lvl>
    <w:lvl w:ilvl="1">
      <w:lvlJc w:val="left"/>
      <w:lvlText w:val="(%2)"/>
      <w:numFmt w:val="lowerLetter"/>
      <w:start w:val="2"/>
    </w:lvl>
  </w:abstractNum>
  <w:abstractNum w:abstractNumId="230">
    <w:nsid w:val="21A2ECCA"/>
    <w:multiLevelType w:val="hybridMultilevel"/>
    <w:lvl w:ilvl="0">
      <w:lvlJc w:val="left"/>
      <w:lvlText w:val="(%1)"/>
      <w:numFmt w:val="lowerLetter"/>
      <w:start w:val="3"/>
    </w:lvl>
  </w:abstractNum>
  <w:abstractNum w:abstractNumId="231">
    <w:nsid w:val="4D5C4899"/>
    <w:multiLevelType w:val="hybridMultilevel"/>
    <w:lvl w:ilvl="0">
      <w:lvlJc w:val="left"/>
      <w:lvlText w:val="(%1)"/>
      <w:numFmt w:val="lowerRoman"/>
      <w:start w:val="1"/>
    </w:lvl>
  </w:abstractNum>
  <w:abstractNum w:abstractNumId="232">
    <w:nsid w:val="3C3B72B2"/>
    <w:multiLevelType w:val="hybridMultilevel"/>
    <w:lvl w:ilvl="0">
      <w:lvlJc w:val="left"/>
      <w:lvlText w:val="(%1)"/>
      <w:numFmt w:val="lowerRoman"/>
      <w:start w:val="5"/>
    </w:lvl>
    <w:lvl w:ilvl="1">
      <w:lvlJc w:val="left"/>
      <w:lvlText w:val="(%2)"/>
      <w:numFmt w:val="lowerLetter"/>
      <w:start w:val="2"/>
    </w:lvl>
  </w:abstractNum>
  <w:abstractNum w:abstractNumId="233">
    <w:nsid w:val="155EC4C2"/>
    <w:multiLevelType w:val="hybridMultilevel"/>
    <w:lvl w:ilvl="0">
      <w:lvlJc w:val="left"/>
      <w:lvlText w:val="(%1)"/>
      <w:numFmt w:val="lowerLetter"/>
      <w:start w:val="3"/>
    </w:lvl>
  </w:abstractNum>
  <w:abstractNum w:abstractNumId="234">
    <w:nsid w:val="65D2A137"/>
    <w:multiLevelType w:val="hybridMultilevel"/>
    <w:lvl w:ilvl="0">
      <w:lvlJc w:val="left"/>
      <w:lvlText w:val="(%1)"/>
      <w:numFmt w:val="lowerLetter"/>
      <w:start w:val="1"/>
    </w:lvl>
  </w:abstractNum>
  <w:abstractNum w:abstractNumId="235">
    <w:nsid w:val="6EBB1F2A"/>
    <w:multiLevelType w:val="hybridMultilevel"/>
    <w:lvl w:ilvl="0">
      <w:lvlJc w:val="left"/>
      <w:lvlText w:val="(%1)"/>
      <w:numFmt w:val="lowerLetter"/>
      <w:start w:val="2"/>
    </w:lvl>
  </w:abstractNum>
  <w:abstractNum w:abstractNumId="236">
    <w:nsid w:val="6FBF29CB"/>
    <w:multiLevelType w:val="hybridMultilevel"/>
    <w:lvl w:ilvl="0">
      <w:lvlJc w:val="left"/>
      <w:lvlText w:val="(%1)"/>
      <w:numFmt w:val="lowerLetter"/>
      <w:start w:val="5"/>
    </w:lvl>
  </w:abstractNum>
  <w:abstractNum w:abstractNumId="237">
    <w:nsid w:val="550B8808"/>
    <w:multiLevelType w:val="hybridMultilevel"/>
    <w:lvl w:ilvl="0">
      <w:lvlJc w:val="left"/>
      <w:lvlText w:val="(%1)"/>
      <w:numFmt w:val="lowerLetter"/>
      <w:start w:val="8"/>
    </w:lvl>
  </w:abstractNum>
  <w:abstractNum w:abstractNumId="238">
    <w:nsid w:val="34CC3ACF"/>
    <w:multiLevelType w:val="hybridMultilevel"/>
    <w:lvl w:ilvl="0">
      <w:lvlJc w:val="left"/>
      <w:lvlText w:val="%1"/>
      <w:numFmt w:val="lowerLetter"/>
      <w:start w:val="1"/>
    </w:lvl>
    <w:lvl w:ilvl="1">
      <w:lvlJc w:val="left"/>
      <w:lvlText w:val="(%2)"/>
      <w:numFmt w:val="lowerLetter"/>
      <w:start w:val="1"/>
    </w:lvl>
  </w:abstractNum>
  <w:abstractNum w:abstractNumId="239">
    <w:nsid w:val="4E556261"/>
    <w:multiLevelType w:val="hybridMultilevel"/>
    <w:lvl w:ilvl="0">
      <w:lvlJc w:val="left"/>
      <w:lvlText w:val="(%1)"/>
      <w:numFmt w:val="lowerLetter"/>
      <w:start w:val="35"/>
    </w:lvl>
    <w:lvl w:ilvl="1">
      <w:lvlJc w:val="left"/>
      <w:lvlText w:val="%2"/>
      <w:numFmt w:val="lowerLetter"/>
      <w:start w:val="1"/>
    </w:lvl>
  </w:abstractNum>
  <w:abstractNum w:abstractNumId="240">
    <w:nsid w:val="4C672FC9"/>
    <w:multiLevelType w:val="hybridMultilevel"/>
    <w:lvl w:ilvl="0">
      <w:lvlJc w:val="left"/>
      <w:lvlText w:val="(%1)"/>
      <w:numFmt w:val="lowerLetter"/>
      <w:start w:val="4"/>
    </w:lvl>
  </w:abstractNum>
  <w:abstractNum w:abstractNumId="241">
    <w:nsid w:val="52A311C3"/>
    <w:multiLevelType w:val="hybridMultilevel"/>
    <w:lvl w:ilvl="0">
      <w:lvlJc w:val="left"/>
      <w:lvlText w:val="(%1)"/>
      <w:numFmt w:val="lowerLetter"/>
      <w:start w:val="1"/>
    </w:lvl>
  </w:abstractNum>
  <w:abstractNum w:abstractNumId="242">
    <w:nsid w:val="44EF6B80"/>
    <w:multiLevelType w:val="hybridMultilevel"/>
    <w:lvl w:ilvl="0">
      <w:lvlJc w:val="left"/>
      <w:lvlText w:val="%1"/>
      <w:numFmt w:val="lowerLetter"/>
      <w:start w:val="1"/>
    </w:lvl>
    <w:lvl w:ilvl="1">
      <w:lvlJc w:val="left"/>
      <w:lvlText w:val="(%2)"/>
      <w:numFmt w:val="lowerLetter"/>
      <w:start w:val="1"/>
    </w:lvl>
  </w:abstractNum>
  <w:abstractNum w:abstractNumId="243">
    <w:nsid w:val="12FCDE5E"/>
    <w:multiLevelType w:val="hybridMultilevel"/>
    <w:lvl w:ilvl="0">
      <w:lvlJc w:val="left"/>
      <w:lvlText w:val="(%1)"/>
      <w:numFmt w:val="lowerLetter"/>
      <w:start w:val="9"/>
    </w:lvl>
    <w:lvl w:ilvl="1">
      <w:lvlJc w:val="left"/>
      <w:lvlText w:val="%2"/>
      <w:numFmt w:val="lowerLetter"/>
      <w:start w:val="1"/>
    </w:lvl>
  </w:abstractNum>
  <w:abstractNum w:abstractNumId="244">
    <w:nsid w:val="4A1D606E"/>
    <w:multiLevelType w:val="hybridMultilevel"/>
    <w:lvl w:ilvl="0">
      <w:lvlJc w:val="left"/>
      <w:lvlText w:val="(%1)"/>
      <w:numFmt w:val="lowerRoman"/>
      <w:start w:val="2"/>
    </w:lvl>
    <w:lvl w:ilvl="1">
      <w:lvlJc w:val="left"/>
      <w:lvlText w:val="(%2)"/>
      <w:numFmt w:val="lowerLetter"/>
      <w:start w:val="3"/>
    </w:lvl>
  </w:abstractNum>
  <w:abstractNum w:abstractNumId="245">
    <w:nsid w:val="4382503"/>
    <w:multiLevelType w:val="hybridMultilevel"/>
    <w:lvl w:ilvl="0">
      <w:lvlJc w:val="left"/>
      <w:lvlText w:val="(%1)"/>
      <w:numFmt w:val="lowerRoman"/>
      <w:start w:val="2"/>
    </w:lvl>
  </w:abstractNum>
  <w:abstractNum w:abstractNumId="246">
    <w:nsid w:val="59B76E28"/>
    <w:multiLevelType w:val="hybridMultilevel"/>
    <w:lvl w:ilvl="0">
      <w:lvlJc w:val="left"/>
      <w:lvlText w:val="(%1)"/>
      <w:numFmt w:val="lowerLetter"/>
      <w:start w:val="61"/>
    </w:lvl>
    <w:lvl w:ilvl="1">
      <w:lvlJc w:val="left"/>
      <w:lvlText w:val="(%2)"/>
      <w:numFmt w:val="lowerLetter"/>
      <w:start w:val="4"/>
    </w:lvl>
  </w:abstractNum>
  <w:abstractNum w:abstractNumId="247">
    <w:nsid w:val="4252C2DA"/>
    <w:multiLevelType w:val="hybridMultilevel"/>
    <w:lvl w:ilvl="0">
      <w:lvlJc w:val="left"/>
      <w:lvlText w:val="(%1)"/>
      <w:numFmt w:val="lowerLetter"/>
      <w:start w:val="2"/>
    </w:lvl>
  </w:abstractNum>
  <w:abstractNum w:abstractNumId="248">
    <w:nsid w:val="6A92EF4C"/>
    <w:multiLevelType w:val="hybridMultilevel"/>
    <w:lvl w:ilvl="0">
      <w:lvlJc w:val="left"/>
      <w:lvlText w:val="(%1)"/>
      <w:numFmt w:val="lowerLetter"/>
      <w:start w:val="6"/>
    </w:lvl>
  </w:abstractNum>
  <w:abstractNum w:abstractNumId="249">
    <w:nsid w:val="41ED20D7"/>
    <w:multiLevelType w:val="hybridMultilevel"/>
    <w:lvl w:ilvl="0">
      <w:lvlJc w:val="left"/>
      <w:lvlText w:val="%1"/>
      <w:numFmt w:val="lowerRoman"/>
      <w:start w:val="1"/>
    </w:lvl>
    <w:lvl w:ilvl="1">
      <w:lvlJc w:val="left"/>
      <w:lvlText w:val="(%2)"/>
      <w:numFmt w:val="lowerLetter"/>
      <w:start w:val="2"/>
    </w:lvl>
  </w:abstractNum>
  <w:abstractNum w:abstractNumId="250">
    <w:nsid w:val="E6B3F6A"/>
    <w:multiLevelType w:val="hybridMultilevel"/>
    <w:lvl w:ilvl="0">
      <w:lvlJc w:val="left"/>
      <w:lvlText w:val="(%1)"/>
      <w:numFmt w:val="lowerRoman"/>
      <w:start w:val="7"/>
    </w:lvl>
    <w:lvl w:ilvl="1">
      <w:lvlJc w:val="left"/>
      <w:lvlText w:val="(%2)"/>
      <w:numFmt w:val="lowerLetter"/>
      <w:start w:val="3"/>
    </w:lvl>
  </w:abstractNum>
  <w:abstractNum w:abstractNumId="251">
    <w:nsid w:val="3EB21819"/>
    <w:multiLevelType w:val="hybridMultilevel"/>
    <w:lvl w:ilvl="0">
      <w:lvlJc w:val="left"/>
      <w:lvlText w:val="(%1)"/>
      <w:numFmt w:val="lowerRoman"/>
      <w:start w:val="4"/>
    </w:lvl>
    <w:lvl w:ilvl="1">
      <w:lvlJc w:val="left"/>
      <w:lvlText w:val="%2"/>
      <w:numFmt w:val="lowerLetter"/>
      <w:start w:val="1"/>
    </w:lvl>
  </w:abstractNum>
  <w:abstractNum w:abstractNumId="252">
    <w:nsid w:val="41531DED"/>
    <w:multiLevelType w:val="hybridMultilevel"/>
    <w:lvl w:ilvl="0">
      <w:lvlJc w:val="left"/>
      <w:lvlText w:val="(%1)"/>
      <w:numFmt w:val="lowerLetter"/>
      <w:start w:val="2"/>
    </w:lvl>
  </w:abstractNum>
  <w:abstractNum w:abstractNumId="253">
    <w:nsid w:val="6353CD2"/>
    <w:multiLevelType w:val="hybridMultilevel"/>
    <w:lvl w:ilvl="0">
      <w:lvlJc w:val="left"/>
      <w:lvlText w:val="(%1)"/>
      <w:numFmt w:val="lowerLetter"/>
      <w:start w:val="2"/>
    </w:lvl>
  </w:abstractNum>
  <w:abstractNum w:abstractNumId="254">
    <w:nsid w:val="683CAAD3"/>
    <w:multiLevelType w:val="hybridMultilevel"/>
    <w:lvl w:ilvl="0">
      <w:lvlJc w:val="left"/>
      <w:lvlText w:val="(%1)"/>
      <w:numFmt w:val="lowerLetter"/>
      <w:start w:val="2"/>
    </w:lvl>
  </w:abstractNum>
  <w:abstractNum w:abstractNumId="255">
    <w:nsid w:val="313C7C99"/>
    <w:multiLevelType w:val="hybridMultilevel"/>
    <w:lvl w:ilvl="0">
      <w:lvlJc w:val="left"/>
      <w:lvlText w:val="(%1)"/>
      <w:numFmt w:val="lowerLetter"/>
      <w:start w:val="2"/>
    </w:lvl>
  </w:abstractNum>
  <w:abstractNum w:abstractNumId="256">
    <w:nsid w:val="519EB94C"/>
    <w:multiLevelType w:val="hybridMultilevel"/>
    <w:lvl w:ilvl="0">
      <w:lvlJc w:val="left"/>
      <w:lvlText w:val="%1"/>
      <w:numFmt w:val="lowerRoman"/>
      <w:start w:val="1"/>
    </w:lvl>
    <w:lvl w:ilvl="1">
      <w:lvlJc w:val="left"/>
      <w:lvlText w:val="(%2)"/>
      <w:numFmt w:val="lowerLetter"/>
      <w:start w:val="2"/>
    </w:lvl>
  </w:abstractNum>
  <w:abstractNum w:abstractNumId="257">
    <w:nsid w:val="39DF2579"/>
    <w:multiLevelType w:val="hybridMultilevel"/>
    <w:lvl w:ilvl="0">
      <w:lvlJc w:val="left"/>
      <w:lvlText w:val="(%1)"/>
      <w:numFmt w:val="lowerRoman"/>
      <w:start w:val="1"/>
    </w:lvl>
    <w:lvl w:ilvl="1">
      <w:lvlJc w:val="left"/>
      <w:lvlText w:val="%2"/>
      <w:numFmt w:val="lowerLetter"/>
      <w:start w:val="1"/>
    </w:lvl>
  </w:abstractNum>
  <w:abstractNum w:abstractNumId="258">
    <w:nsid w:val="126E008B"/>
    <w:multiLevelType w:val="hybridMultilevel"/>
    <w:lvl w:ilvl="0">
      <w:lvlJc w:val="left"/>
      <w:lvlText w:val="(%1)"/>
      <w:numFmt w:val="lowerLetter"/>
      <w:start w:val="2"/>
    </w:lvl>
  </w:abstractNum>
  <w:abstractNum w:abstractNumId="259">
    <w:nsid w:val="34DFBC00"/>
    <w:multiLevelType w:val="hybridMultilevel"/>
    <w:lvl w:ilvl="0">
      <w:lvlJc w:val="left"/>
      <w:lvlText w:val="%1"/>
      <w:numFmt w:val="lowerRoman"/>
      <w:start w:val="1"/>
    </w:lvl>
    <w:lvl w:ilvl="1">
      <w:lvlJc w:val="left"/>
      <w:lvlText w:val="(%2)"/>
      <w:numFmt w:val="lowerLetter"/>
      <w:start w:val="1"/>
    </w:lvl>
  </w:abstractNum>
  <w:abstractNum w:abstractNumId="260">
    <w:nsid w:val="1F9EC322"/>
    <w:multiLevelType w:val="hybridMultilevel"/>
    <w:lvl w:ilvl="0">
      <w:lvlJc w:val="left"/>
      <w:lvlText w:val="(%1)"/>
      <w:numFmt w:val="lowerRoman"/>
      <w:start w:val="1"/>
    </w:lvl>
    <w:lvl w:ilvl="1">
      <w:lvlJc w:val="left"/>
      <w:lvlText w:val="%2"/>
      <w:numFmt w:val="lowerLetter"/>
      <w:start w:val="1"/>
    </w:lvl>
  </w:abstractNum>
  <w:abstractNum w:abstractNumId="261">
    <w:nsid w:val="3410ED56"/>
    <w:multiLevelType w:val="hybridMultilevel"/>
    <w:lvl w:ilvl="0">
      <w:lvlJc w:val="left"/>
      <w:lvlText w:val="(%1)"/>
      <w:numFmt w:val="lowerRoman"/>
      <w:start w:val="1"/>
    </w:lvl>
  </w:abstractNum>
  <w:abstractNum w:abstractNumId="262">
    <w:nsid w:val="23C049A"/>
    <w:multiLevelType w:val="hybridMultilevel"/>
    <w:lvl w:ilvl="0">
      <w:lvlJc w:val="left"/>
      <w:lvlText w:val="%1"/>
      <w:numFmt w:val="lowerLetter"/>
      <w:start w:val="1"/>
    </w:lvl>
    <w:lvl w:ilvl="1">
      <w:lvlJc w:val="left"/>
      <w:lvlText w:val="(%2)"/>
      <w:numFmt w:val="lowerRoman"/>
      <w:start w:val="2"/>
    </w:lvl>
  </w:abstractNum>
  <w:abstractNum w:abstractNumId="263">
    <w:nsid w:val="5BDA35D4"/>
    <w:multiLevelType w:val="hybridMultilevel"/>
    <w:lvl w:ilvl="0">
      <w:lvlJc w:val="left"/>
      <w:lvlText w:val="(%1)"/>
      <w:numFmt w:val="lowerLetter"/>
      <w:start w:val="2"/>
    </w:lvl>
    <w:lvl w:ilvl="1">
      <w:lvlJc w:val="left"/>
      <w:lvlText w:val="(%2)"/>
      <w:numFmt w:val="lowerRoman"/>
      <w:start w:val="1"/>
    </w:lvl>
  </w:abstractNum>
  <w:abstractNum w:abstractNumId="264">
    <w:nsid w:val="496FB218"/>
    <w:multiLevelType w:val="hybridMultilevel"/>
    <w:lvl w:ilvl="0">
      <w:lvlJc w:val="left"/>
      <w:lvlText w:val="(%1)"/>
      <w:numFmt w:val="lowerLetter"/>
      <w:start w:val="3"/>
    </w:lvl>
  </w:abstractNum>
  <w:abstractNum w:abstractNumId="265">
    <w:nsid w:val="680EA5D1"/>
    <w:multiLevelType w:val="hybridMultilevel"/>
    <w:lvl w:ilvl="0">
      <w:lvlJc w:val="left"/>
      <w:lvlText w:val="(%1)"/>
      <w:numFmt w:val="lowerLetter"/>
      <w:start w:val="1"/>
    </w:lvl>
  </w:abstractNum>
  <w:abstractNum w:abstractNumId="266">
    <w:nsid w:val="4A9554FE"/>
    <w:multiLevelType w:val="hybridMultilevel"/>
    <w:lvl w:ilvl="0">
      <w:lvlJc w:val="left"/>
      <w:lvlText w:val="(%1)"/>
      <w:numFmt w:val="lowerLetter"/>
      <w:start w:val="9"/>
    </w:lvl>
    <w:lvl w:ilvl="1">
      <w:lvlJc w:val="left"/>
      <w:lvlText w:val="(%2)"/>
      <w:numFmt w:val="lowerLetter"/>
      <w:start w:val="2"/>
    </w:lvl>
  </w:abstractNum>
  <w:abstractNum w:abstractNumId="267">
    <w:nsid w:val="392EDBE4"/>
    <w:multiLevelType w:val="hybridMultilevel"/>
    <w:lvl w:ilvl="0">
      <w:lvlJc w:val="left"/>
      <w:lvlText w:val="%1"/>
      <w:numFmt w:val="lowerLetter"/>
      <w:start w:val="1"/>
    </w:lvl>
    <w:lvl w:ilvl="1">
      <w:lvlJc w:val="left"/>
      <w:lvlText w:val="(%2)"/>
      <w:numFmt w:val="lowerLetter"/>
      <w:start w:val="3"/>
    </w:lvl>
  </w:abstractNum>
  <w:abstractNum w:abstractNumId="268">
    <w:nsid w:val="3D1A2DD9"/>
    <w:multiLevelType w:val="hybridMultilevel"/>
    <w:lvl w:ilvl="0">
      <w:lvlJc w:val="left"/>
      <w:lvlText w:val="(%1)"/>
      <w:numFmt w:val="lowerLetter"/>
      <w:start w:val="9"/>
    </w:lvl>
    <w:lvl w:ilvl="1">
      <w:lvlJc w:val="left"/>
      <w:lvlText w:val="(%2)"/>
      <w:numFmt w:val="lowerLetter"/>
      <w:start w:val="4"/>
    </w:lvl>
  </w:abstractNum>
  <w:abstractNum w:abstractNumId="269">
    <w:nsid w:val="7F618FCD"/>
    <w:multiLevelType w:val="hybridMultilevel"/>
    <w:lvl w:ilvl="0">
      <w:lvlJc w:val="left"/>
      <w:lvlText w:val="%1"/>
      <w:numFmt w:val="lowerLetter"/>
      <w:start w:val="1"/>
    </w:lvl>
    <w:lvl w:ilvl="1">
      <w:lvlJc w:val="left"/>
      <w:lvlText w:val="(%2)"/>
      <w:numFmt w:val="lowerLetter"/>
      <w:start w:val="6"/>
    </w:lvl>
  </w:abstractNum>
  <w:abstractNum w:abstractNumId="270">
    <w:nsid w:val="7843E45"/>
    <w:multiLevelType w:val="hybridMultilevel"/>
    <w:lvl w:ilvl="0">
      <w:lvlJc w:val="left"/>
      <w:lvlText w:val="(%1)"/>
      <w:numFmt w:val="lowerLetter"/>
      <w:start w:val="9"/>
    </w:lvl>
    <w:lvl w:ilvl="1">
      <w:lvlJc w:val="left"/>
      <w:lvlText w:val="%2"/>
      <w:numFmt w:val="lowerLetter"/>
      <w:start w:val="1"/>
    </w:lvl>
  </w:abstractNum>
  <w:abstractNum w:abstractNumId="271">
    <w:nsid w:val="9815DA3"/>
    <w:multiLevelType w:val="hybridMultilevel"/>
    <w:lvl w:ilvl="0">
      <w:lvlJc w:val="left"/>
      <w:lvlText w:val="(%1)"/>
      <w:numFmt w:val="lowerLetter"/>
      <w:start w:val="4"/>
    </w:lvl>
    <w:lvl w:ilvl="1">
      <w:lvlJc w:val="left"/>
      <w:lvlText w:val="%2"/>
      <w:numFmt w:val="lowerLetter"/>
      <w:start w:val="1"/>
    </w:lvl>
  </w:abstractNum>
  <w:abstractNum w:abstractNumId="272">
    <w:nsid w:val="5204A191"/>
    <w:multiLevelType w:val="hybridMultilevel"/>
    <w:lvl w:ilvl="0">
      <w:lvlJc w:val="left"/>
      <w:lvlText w:val="(%1)"/>
      <w:numFmt w:val="lowerLetter"/>
      <w:start w:val="1"/>
    </w:lvl>
  </w:abstractNum>
  <w:abstractNum w:abstractNumId="273">
    <w:nsid w:val="4C73A9C6"/>
    <w:multiLevelType w:val="hybridMultilevel"/>
    <w:lvl w:ilvl="0">
      <w:lvlJc w:val="left"/>
      <w:lvlText w:val="%1"/>
      <w:numFmt w:val="lowerLetter"/>
      <w:start w:val="1"/>
    </w:lvl>
    <w:lvl w:ilvl="1">
      <w:lvlJc w:val="left"/>
      <w:lvlText w:val="(%2)"/>
      <w:numFmt w:val="lowerLetter"/>
      <w:start w:val="1"/>
    </w:lvl>
  </w:abstractNum>
  <w:abstractNum w:abstractNumId="274">
    <w:nsid w:val="1C7E3C01"/>
    <w:multiLevelType w:val="hybridMultilevel"/>
    <w:lvl w:ilvl="0">
      <w:lvlJc w:val="left"/>
      <w:lvlText w:val="(%1)"/>
      <w:numFmt w:val="lowerLetter"/>
      <w:start w:val="9"/>
    </w:lvl>
    <w:lvl w:ilvl="1">
      <w:lvlJc w:val="left"/>
      <w:lvlText w:val="%2"/>
      <w:numFmt w:val="lowerLetter"/>
      <w:start w:val="1"/>
    </w:lvl>
  </w:abstractNum>
  <w:abstractNum w:abstractNumId="275">
    <w:nsid w:val="1C2201FF"/>
    <w:multiLevelType w:val="hybridMultilevel"/>
    <w:lvl w:ilvl="0">
      <w:lvlJc w:val="left"/>
      <w:lvlText w:val="(%1)"/>
      <w:numFmt w:val="lowerRoman"/>
      <w:start w:val="2"/>
    </w:lvl>
    <w:lvl w:ilvl="1">
      <w:lvlJc w:val="left"/>
      <w:lvlText w:val="(%2)"/>
      <w:numFmt w:val="upperLetter"/>
      <w:start w:val="1"/>
    </w:lvl>
  </w:abstractNum>
  <w:abstractNum w:abstractNumId="276">
    <w:nsid w:val="50ABCEC9"/>
    <w:multiLevelType w:val="hybridMultilevel"/>
    <w:lvl w:ilvl="0">
      <w:lvlJc w:val="left"/>
      <w:lvlText w:val="(%1)"/>
      <w:numFmt w:val="lowerLetter"/>
      <w:start w:val="1"/>
    </w:lvl>
  </w:abstractNum>
  <w:abstractNum w:abstractNumId="277">
    <w:nsid w:val="7635AA2A"/>
    <w:multiLevelType w:val="hybridMultilevel"/>
    <w:lvl w:ilvl="0">
      <w:lvlJc w:val="left"/>
      <w:lvlText w:val="(%1)"/>
      <w:numFmt w:val="lowerLetter"/>
      <w:start w:val="1"/>
    </w:lvl>
  </w:abstractNum>
  <w:abstractNum w:abstractNumId="278">
    <w:nsid w:val="5E74C4D9"/>
    <w:multiLevelType w:val="hybridMultilevel"/>
    <w:lvl w:ilvl="0">
      <w:lvlJc w:val="left"/>
      <w:lvlText w:val="%1"/>
      <w:numFmt w:val="lowerLetter"/>
      <w:start w:val="1"/>
    </w:lvl>
    <w:lvl w:ilvl="1">
      <w:lvlJc w:val="left"/>
      <w:lvlText w:val="(%2)"/>
      <w:numFmt w:val="lowerLetter"/>
      <w:start w:val="2"/>
    </w:lvl>
  </w:abstractNum>
  <w:abstractNum w:abstractNumId="279">
    <w:nsid w:val="3B3EBE15"/>
    <w:multiLevelType w:val="hybridMultilevel"/>
    <w:lvl w:ilvl="0">
      <w:lvlJc w:val="left"/>
      <w:lvlText w:val="(%1)"/>
      <w:numFmt w:val="lowerLetter"/>
      <w:start w:val="9"/>
    </w:lvl>
    <w:lvl w:ilvl="1">
      <w:lvlJc w:val="left"/>
      <w:lvlText w:val="%2"/>
      <w:numFmt w:val="lowerLetter"/>
      <w:start w:val="1"/>
    </w:lvl>
  </w:abstractNum>
  <w:abstractNum w:abstractNumId="280">
    <w:nsid w:val="3822CB01"/>
    <w:multiLevelType w:val="hybridMultilevel"/>
    <w:lvl w:ilvl="0">
      <w:lvlJc w:val="left"/>
      <w:lvlText w:val="(%1)"/>
      <w:numFmt w:val="lowerRoman"/>
      <w:start w:val="2"/>
    </w:lvl>
    <w:lvl w:ilvl="1">
      <w:lvlJc w:val="left"/>
      <w:lvlText w:val="(%2)"/>
      <w:numFmt w:val="lowerLetter"/>
      <w:start w:val="3"/>
    </w:lvl>
  </w:abstractNum>
  <w:abstractNum w:abstractNumId="281">
    <w:nsid w:val="6CE00443"/>
    <w:multiLevelType w:val="hybridMultilevel"/>
    <w:lvl w:ilvl="0">
      <w:lvlJc w:val="left"/>
      <w:lvlText w:val="(%1)"/>
      <w:numFmt w:val="lowerRoman"/>
      <w:start w:val="2"/>
    </w:lvl>
  </w:abstractNum>
  <w:abstractNum w:abstractNumId="282">
    <w:nsid w:val="79F0D62F"/>
    <w:multiLevelType w:val="hybridMultilevel"/>
    <w:lvl w:ilvl="0">
      <w:lvlJc w:val="left"/>
      <w:lvlText w:val="(%1)"/>
      <w:numFmt w:val="lowerLetter"/>
      <w:start w:val="1"/>
    </w:lvl>
    <w:lvl w:ilvl="1">
      <w:lvlJc w:val="left"/>
      <w:lvlText w:val="(%2)"/>
      <w:numFmt w:val="lowerLetter"/>
      <w:start w:val="2"/>
    </w:lvl>
  </w:abstractNum>
  <w:abstractNum w:abstractNumId="283">
    <w:nsid w:val="7975E8EE"/>
    <w:multiLevelType w:val="hybridMultilevel"/>
    <w:lvl w:ilvl="0">
      <w:lvlJc w:val="left"/>
      <w:lvlText w:val="(%1)"/>
      <w:numFmt w:val="lowerLetter"/>
      <w:start w:val="1"/>
    </w:lvl>
  </w:abstractNum>
  <w:abstractNum w:abstractNumId="284">
    <w:nsid w:val="73154115"/>
    <w:multiLevelType w:val="hybridMultilevel"/>
    <w:lvl w:ilvl="0">
      <w:lvlJc w:val="left"/>
      <w:lvlText w:val="(%1)"/>
      <w:numFmt w:val="lowerLetter"/>
      <w:start w:val="3"/>
    </w:lvl>
  </w:abstractNum>
  <w:abstractNum w:abstractNumId="285">
    <w:nsid w:val="622D8102"/>
    <w:multiLevelType w:val="hybridMultilevel"/>
    <w:lvl w:ilvl="0">
      <w:lvlJc w:val="left"/>
      <w:lvlText w:val="%1."/>
      <w:numFmt w:val="decimal"/>
      <w:start w:val="1"/>
    </w:lvl>
  </w:abstractNum>
  <w:abstractNum w:abstractNumId="286">
    <w:nsid w:val="2AB26587"/>
    <w:multiLevelType w:val="hybridMultilevel"/>
    <w:lvl w:ilvl="0">
      <w:lvlJc w:val="left"/>
      <w:lvlText w:val="%1)"/>
      <w:numFmt w:val="lowerLetter"/>
      <w:start w:val="1"/>
    </w:lvl>
  </w:abstractNum>
  <w:abstractNum w:abstractNumId="287">
    <w:nsid w:val="44B3FA61"/>
    <w:multiLevelType w:val="hybridMultilevel"/>
    <w:lvl w:ilvl="0">
      <w:lvlJc w:val="left"/>
      <w:lvlText w:val="%1."/>
      <w:numFmt w:val="decimal"/>
      <w:start w:val="5"/>
    </w:lvl>
  </w:abstractNum>
  <w:abstractNum w:abstractNumId="288">
    <w:nsid w:val="1C0CA67C"/>
    <w:multiLevelType w:val="hybridMultilevel"/>
    <w:lvl w:ilvl="0">
      <w:lvlJc w:val="left"/>
      <w:lvlText w:val="%1)"/>
      <w:numFmt w:val="lowerLetter"/>
      <w:start w:val="1"/>
    </w:lvl>
  </w:abstractNum>
  <w:abstractNum w:abstractNumId="289">
    <w:nsid w:val="3D206613"/>
    <w:multiLevelType w:val="hybridMultilevel"/>
    <w:lvl w:ilvl="0">
      <w:lvlJc w:val="left"/>
      <w:lvlText w:val="%1."/>
      <w:numFmt w:val="decimal"/>
      <w:start w:val="1"/>
    </w:lvl>
  </w:abstractNum>
  <w:abstractNum w:abstractNumId="290">
    <w:nsid w:val="7993B662"/>
    <w:multiLevelType w:val="hybridMultilevel"/>
    <w:lvl w:ilvl="0">
      <w:lvlJc w:val="left"/>
      <w:lvlText w:val="%1)"/>
      <w:numFmt w:val="lowerLetter"/>
      <w:start w:val="1"/>
    </w:lvl>
  </w:abstractNum>
  <w:abstractNum w:abstractNumId="291">
    <w:nsid w:val="3BAB699E"/>
    <w:multiLevelType w:val="hybridMultilevel"/>
    <w:lvl w:ilvl="0">
      <w:lvlJc w:val="left"/>
      <w:lvlText w:val="%1."/>
      <w:numFmt w:val="decimal"/>
      <w:start w:val="5"/>
    </w:lvl>
  </w:abstractNum>
  <w:abstractNum w:abstractNumId="292">
    <w:nsid w:val="71315369"/>
    <w:multiLevelType w:val="hybridMultilevel"/>
    <w:lvl w:ilvl="0">
      <w:lvlJc w:val="left"/>
      <w:lvlText w:val="%1)"/>
      <w:numFmt w:val="lowerLetter"/>
      <w:start w:val="1"/>
    </w:lvl>
  </w:abstractNum>
  <w:abstractNum w:abstractNumId="293">
    <w:nsid w:val="7BCFBAFC"/>
    <w:multiLevelType w:val="hybridMultilevel"/>
    <w:lvl w:ilvl="0">
      <w:lvlJc w:val="left"/>
      <w:lvlText w:val="%1."/>
      <w:numFmt w:val="decimal"/>
      <w:start w:val="1"/>
    </w:lvl>
  </w:abstractNum>
  <w:abstractNum w:abstractNumId="294">
    <w:nsid w:val="17859F72"/>
    <w:multiLevelType w:val="hybridMultilevel"/>
    <w:lvl w:ilvl="0">
      <w:lvlJc w:val="left"/>
      <w:lvlText w:val="%1)"/>
      <w:numFmt w:val="lowerLetter"/>
      <w:start w:val="1"/>
    </w:lvl>
  </w:abstractNum>
  <w:abstractNum w:abstractNumId="295">
    <w:nsid w:val="3AA10581"/>
    <w:multiLevelType w:val="hybridMultilevel"/>
    <w:lvl w:ilvl="0">
      <w:lvlJc w:val="left"/>
      <w:lvlText w:val="%1."/>
      <w:numFmt w:val="decimal"/>
      <w:start w:val="5"/>
    </w:lvl>
  </w:abstractNum>
  <w:abstractNum w:abstractNumId="296">
    <w:nsid w:val="63DE60CD"/>
    <w:multiLevelType w:val="hybridMultilevel"/>
    <w:lvl w:ilvl="0">
      <w:lvlJc w:val="left"/>
      <w:lvlText w:val="%1)"/>
      <w:numFmt w:val="lowerLetter"/>
      <w:start w:val="1"/>
    </w:lvl>
  </w:abstractNum>
  <w:abstractNum w:abstractNumId="297">
    <w:nsid w:val="621AF471"/>
    <w:multiLevelType w:val="hybridMultilevel"/>
    <w:lvl w:ilvl="0">
      <w:lvlJc w:val="left"/>
      <w:lvlText w:val="(%1)"/>
      <w:numFmt w:val="decimal"/>
      <w:start w:val="1"/>
    </w:lvl>
  </w:abstractNum>
  <w:abstractNum w:abstractNumId="298">
    <w:nsid w:val="73CFE165"/>
    <w:multiLevelType w:val="hybridMultilevel"/>
    <w:lvl w:ilvl="0">
      <w:lvlJc w:val="left"/>
      <w:lvlText w:val="(%1)"/>
      <w:numFmt w:val="decimal"/>
      <w:start w:val="1"/>
    </w:lvl>
  </w:abstractNum>
  <w:abstractNum w:abstractNumId="299">
    <w:nsid w:val="20F88EA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pn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pn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235" Type="http://schemas.openxmlformats.org/officeDocument/2006/relationships/image" Target="media/image217.png"/><Relationship Id="rId236" Type="http://schemas.openxmlformats.org/officeDocument/2006/relationships/image" Target="media/image218.png"/><Relationship Id="rId237" Type="http://schemas.openxmlformats.org/officeDocument/2006/relationships/image" Target="media/image219.png"/><Relationship Id="rId238"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73" Type="http://schemas.openxmlformats.org/officeDocument/2006/relationships/hyperlink" Target="http://www.sec.gov/Archives/edgar/data/1418076/000119312521345547/d133100dex21.htm" TargetMode="External"/><Relationship Id="rId74" Type="http://schemas.openxmlformats.org/officeDocument/2006/relationships/hyperlink" Target="http://www.sec.gov/Archives/edgar/data/1418076/000119312510002244/dex99a.htm" TargetMode="External"/><Relationship Id="rId75" Type="http://schemas.openxmlformats.org/officeDocument/2006/relationships/hyperlink" Target="http://www.sec.gov/Archives/edgar/data/1418076/000119312521345547/d133100dex31.htm" TargetMode="External"/><Relationship Id="rId76" Type="http://schemas.openxmlformats.org/officeDocument/2006/relationships/hyperlink" Target="http://www.sec.gov/Archives/edgar/data/1418076/000119312510025192/dex99d1.htm" TargetMode="External"/><Relationship Id="rId77" Type="http://schemas.openxmlformats.org/officeDocument/2006/relationships/hyperlink" Target="http://www.sec.gov/Archives/edgar/data/1418076/000119312512473528/d431925dex99d5.htm" TargetMode="External"/><Relationship Id="rId78" Type="http://schemas.openxmlformats.org/officeDocument/2006/relationships/hyperlink" Target="http://www.sec.gov/Archives/edgar/data/1418076/000119312517350075/d482509dex99d8.htm" TargetMode="External"/><Relationship Id="rId79" Type="http://schemas.openxmlformats.org/officeDocument/2006/relationships/hyperlink" Target="http://www.sec.gov/Archives/edgar/data/1508171/000119312511238017/dex102.htm" TargetMode="External"/><Relationship Id="rId80" Type="http://schemas.openxmlformats.org/officeDocument/2006/relationships/hyperlink" Target="http://www.sec.gov/Archives/edgar/data/1418076/000119312522092898/d296304dex101.htm" TargetMode="External"/><Relationship Id="rId81" Type="http://schemas.openxmlformats.org/officeDocument/2006/relationships/hyperlink" Target="http://www.sec.gov/Archives/edgar/data/1418076/000119312522092898/d296304dex102.htm" TargetMode="External"/><Relationship Id="rId82" Type="http://schemas.openxmlformats.org/officeDocument/2006/relationships/hyperlink" Target="http://www.sec.gov/Archives/edgar/data/1418076/000119312522092898/d296304dex105.htm" TargetMode="External"/><Relationship Id="rId83" Type="http://schemas.openxmlformats.org/officeDocument/2006/relationships/hyperlink" Target="http://www.sec.gov/Archives/edgar/data/1508171/000119312520136355/d927989d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2022-05-03T16:32:58Z</dcterms:created>
  <dcterms:modified xsi:type="dcterms:W3CDTF">2022-05-03T16:32:58Z</dcterms:modified>
</cp:coreProperties>
</file>